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102E4">
      <w:pPr>
        <w:rPr>
          <w:rFonts w:ascii="仿宋" w:hAnsi="仿宋" w:eastAsia="仿宋"/>
          <w:bCs/>
          <w:sz w:val="28"/>
          <w:szCs w:val="28"/>
        </w:rPr>
      </w:pPr>
      <w:bookmarkStart w:id="104" w:name="_GoBack"/>
      <w:bookmarkEnd w:id="104"/>
      <w:r>
        <w:rPr>
          <w:rFonts w:hint="eastAsia" w:ascii="仿宋" w:hAnsi="仿宋" w:eastAsia="仿宋"/>
          <w:bCs/>
          <w:sz w:val="24"/>
          <w:szCs w:val="24"/>
        </w:rPr>
        <w:t>附件</w:t>
      </w:r>
    </w:p>
    <w:p w14:paraId="711B733A">
      <w:pPr>
        <w:jc w:val="center"/>
        <w:rPr>
          <w:rFonts w:cs="宋体" w:asciiTheme="majorEastAsia" w:hAnsiTheme="majorEastAsia" w:eastAsiaTheme="majorEastAsia"/>
          <w:b/>
          <w:bCs/>
          <w:sz w:val="44"/>
          <w:szCs w:val="44"/>
        </w:rPr>
      </w:pPr>
      <w:r>
        <w:rPr>
          <w:rFonts w:hint="eastAsia" w:cs="Times New Roman" w:asciiTheme="majorEastAsia" w:hAnsiTheme="majorEastAsia" w:eastAsiaTheme="majorEastAsia"/>
          <w:b/>
          <w:sz w:val="44"/>
          <w:szCs w:val="44"/>
        </w:rPr>
        <w:t>2025年度自律调研情况汇总表</w:t>
      </w:r>
    </w:p>
    <w:p w14:paraId="7EBE66B9">
      <w:pPr>
        <w:spacing w:line="100" w:lineRule="exact"/>
        <w:jc w:val="center"/>
        <w:rPr>
          <w:rFonts w:ascii="宋体" w:hAnsi="宋体" w:cs="宋体"/>
          <w:b/>
          <w:bCs/>
          <w:sz w:val="44"/>
          <w:szCs w:val="44"/>
        </w:rPr>
      </w:pPr>
    </w:p>
    <w:p w14:paraId="2E8BBDAF">
      <w:pPr>
        <w:spacing w:line="100" w:lineRule="exact"/>
        <w:jc w:val="center"/>
        <w:rPr>
          <w:rFonts w:ascii="宋体" w:hAnsi="宋体" w:cs="宋体"/>
          <w:b/>
          <w:bCs/>
          <w:sz w:val="44"/>
          <w:szCs w:val="44"/>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0"/>
        <w:gridCol w:w="1451"/>
        <w:gridCol w:w="1420"/>
        <w:gridCol w:w="1560"/>
        <w:gridCol w:w="9067"/>
      </w:tblGrid>
      <w:tr w14:paraId="7327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blHeader/>
        </w:trPr>
        <w:tc>
          <w:tcPr>
            <w:tcW w:w="199" w:type="pct"/>
            <w:vAlign w:val="center"/>
          </w:tcPr>
          <w:p w14:paraId="60E8028E">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516" w:type="pct"/>
            <w:vAlign w:val="center"/>
          </w:tcPr>
          <w:p w14:paraId="6E1769F3">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项目名称</w:t>
            </w:r>
          </w:p>
        </w:tc>
        <w:tc>
          <w:tcPr>
            <w:tcW w:w="505" w:type="pct"/>
            <w:vAlign w:val="center"/>
          </w:tcPr>
          <w:p w14:paraId="6736E99F">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监理单位</w:t>
            </w:r>
          </w:p>
        </w:tc>
        <w:tc>
          <w:tcPr>
            <w:tcW w:w="555" w:type="pct"/>
            <w:vAlign w:val="center"/>
          </w:tcPr>
          <w:p w14:paraId="63342FB0">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现场形象进度</w:t>
            </w:r>
          </w:p>
        </w:tc>
        <w:tc>
          <w:tcPr>
            <w:tcW w:w="3225" w:type="pct"/>
            <w:vAlign w:val="center"/>
          </w:tcPr>
          <w:p w14:paraId="50C17A7D">
            <w:pPr>
              <w:widowControl/>
              <w:snapToGrid w:val="0"/>
              <w:spacing w:line="260" w:lineRule="exact"/>
              <w:jc w:val="center"/>
              <w:rPr>
                <w:rFonts w:ascii="宋体" w:hAnsi="宋体" w:cs="宋体"/>
                <w:b/>
                <w:bCs/>
                <w:kern w:val="0"/>
                <w:sz w:val="18"/>
                <w:szCs w:val="18"/>
              </w:rPr>
            </w:pPr>
            <w:r>
              <w:rPr>
                <w:rFonts w:hint="eastAsia" w:ascii="宋体" w:hAnsi="宋体" w:cs="宋体"/>
                <w:b/>
                <w:bCs/>
                <w:kern w:val="0"/>
                <w:sz w:val="18"/>
                <w:szCs w:val="18"/>
              </w:rPr>
              <w:t>存在问题</w:t>
            </w:r>
          </w:p>
        </w:tc>
      </w:tr>
      <w:tr w14:paraId="3653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1" w:hRule="atLeast"/>
        </w:trPr>
        <w:tc>
          <w:tcPr>
            <w:tcW w:w="199" w:type="pct"/>
            <w:vAlign w:val="center"/>
          </w:tcPr>
          <w:p w14:paraId="255FC33C">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w:t>
            </w:r>
          </w:p>
        </w:tc>
        <w:tc>
          <w:tcPr>
            <w:tcW w:w="516" w:type="pct"/>
            <w:vAlign w:val="center"/>
          </w:tcPr>
          <w:p w14:paraId="02BB142F">
            <w:pPr>
              <w:spacing w:line="280" w:lineRule="exact"/>
              <w:jc w:val="center"/>
              <w:rPr>
                <w:rFonts w:ascii="仿宋" w:hAnsi="仿宋" w:eastAsia="仿宋"/>
                <w:szCs w:val="21"/>
              </w:rPr>
            </w:pPr>
            <w:r>
              <w:rPr>
                <w:rFonts w:hint="eastAsia" w:ascii="仿宋" w:hAnsi="仿宋" w:eastAsia="仿宋"/>
                <w:szCs w:val="21"/>
              </w:rPr>
              <w:t>南湖郡项目</w:t>
            </w:r>
          </w:p>
        </w:tc>
        <w:tc>
          <w:tcPr>
            <w:tcW w:w="505" w:type="pct"/>
            <w:vAlign w:val="center"/>
          </w:tcPr>
          <w:p w14:paraId="68173F6A">
            <w:pPr>
              <w:spacing w:line="280" w:lineRule="exact"/>
              <w:jc w:val="center"/>
              <w:rPr>
                <w:rFonts w:ascii="仿宋" w:hAnsi="仿宋" w:eastAsia="仿宋"/>
                <w:szCs w:val="21"/>
              </w:rPr>
            </w:pPr>
            <w:r>
              <w:rPr>
                <w:rFonts w:hint="eastAsia" w:ascii="仿宋" w:hAnsi="仿宋" w:eastAsia="仿宋"/>
                <w:szCs w:val="21"/>
              </w:rPr>
              <w:t>厦门长实建设有限公司</w:t>
            </w:r>
          </w:p>
        </w:tc>
        <w:tc>
          <w:tcPr>
            <w:tcW w:w="555" w:type="pct"/>
            <w:vAlign w:val="center"/>
          </w:tcPr>
          <w:p w14:paraId="4FFD6AC5">
            <w:pPr>
              <w:widowControl/>
              <w:spacing w:line="280" w:lineRule="exact"/>
              <w:jc w:val="left"/>
              <w:rPr>
                <w:rFonts w:ascii="仿宋" w:hAnsi="仿宋" w:eastAsia="仿宋"/>
                <w:szCs w:val="21"/>
              </w:rPr>
            </w:pPr>
            <w:r>
              <w:rPr>
                <w:rFonts w:hint="eastAsia" w:ascii="仿宋" w:hAnsi="仿宋" w:eastAsia="仿宋"/>
                <w:szCs w:val="21"/>
              </w:rPr>
              <w:t>桩基阶段</w:t>
            </w:r>
          </w:p>
        </w:tc>
        <w:tc>
          <w:tcPr>
            <w:tcW w:w="3225" w:type="pct"/>
            <w:vAlign w:val="center"/>
          </w:tcPr>
          <w:p w14:paraId="2705055B">
            <w:pPr>
              <w:spacing w:line="27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szCs w:val="21"/>
              </w:rPr>
              <w:t>未到位人员未登录“项目监管系统”请假登记留痕。</w:t>
            </w:r>
            <w:r>
              <w:rPr>
                <w:rFonts w:hint="eastAsia" w:ascii="仿宋" w:hAnsi="仿宋" w:eastAsia="仿宋" w:cs="宋体"/>
                <w:kern w:val="0"/>
                <w:szCs w:val="21"/>
              </w:rPr>
              <w:t>监理规划针对性不强，缺人员进退场计划、监理工作设施内容涵盖不全面。基坑支护及土方开挖监理实施细则缺监理工作流程相关内容。桩基施工监理实施细则编制依据文件不全，缺施工组织设计（专项）施工方案，对方桩施工监理工作要点内容针对性不强。监理日志记录不全面，未体现监理现场巡视检查等情况。无总监定期质量安全监理巡视记录。施工组织设计缺安装专业监理工程师签字。</w:t>
            </w:r>
          </w:p>
          <w:p w14:paraId="25F6E373">
            <w:pPr>
              <w:spacing w:line="27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无基坑支护使用的H型钢检查记录资料。现场部分冠梁锚索已经张拉，未能提供锚索（钢绞线锚具）出厂合格证明文件及进场复检报告、锚索张拉试验报告。无冠梁锚索张拉旁站记录。桩基旁站记录没有附举牌照片，且旁站记录使用的表格已废止。现场施工临时用电使用的铝芯未带铠装电缆与施工临时用电方案采用钢带铠装铜芯电缆不符。危大工程监理巡视检查记录未附体现检查过程可追溯记录照片或影像资料，2025年5月7日检查记录中检查的具体内容不明确。无超危大工程施工前条件检查资料（基坑土开挖）。桩基静载试验堆载区域无任何安全防护措施；基坑临边防护不到位，危险部位无悬挂安全警示标志；施工电线电缆未采取架空或埋地措施；配电箱接地端子接多个接头；桩机配电柜未稳固安装采用木头临时支撑，未配备灭火器具，安装位置临时道路不通使用不安全。</w:t>
            </w:r>
          </w:p>
        </w:tc>
      </w:tr>
      <w:tr w14:paraId="570A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7" w:hRule="atLeast"/>
        </w:trPr>
        <w:tc>
          <w:tcPr>
            <w:tcW w:w="199" w:type="pct"/>
            <w:vAlign w:val="center"/>
          </w:tcPr>
          <w:p w14:paraId="3E92FDC0">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2</w:t>
            </w:r>
          </w:p>
        </w:tc>
        <w:tc>
          <w:tcPr>
            <w:tcW w:w="516" w:type="pct"/>
            <w:vAlign w:val="center"/>
          </w:tcPr>
          <w:p w14:paraId="333D53A5">
            <w:pPr>
              <w:spacing w:line="280" w:lineRule="exact"/>
              <w:jc w:val="center"/>
              <w:rPr>
                <w:rFonts w:ascii="仿宋" w:hAnsi="仿宋" w:eastAsia="仿宋" w:cs="宋体"/>
                <w:szCs w:val="21"/>
              </w:rPr>
            </w:pPr>
            <w:r>
              <w:rPr>
                <w:rFonts w:hint="eastAsia" w:ascii="仿宋" w:hAnsi="仿宋" w:eastAsia="仿宋"/>
                <w:szCs w:val="21"/>
              </w:rPr>
              <w:t>福清市汇融创业投资集团有限公司汽车城</w:t>
            </w:r>
          </w:p>
        </w:tc>
        <w:tc>
          <w:tcPr>
            <w:tcW w:w="505" w:type="pct"/>
            <w:vAlign w:val="center"/>
          </w:tcPr>
          <w:p w14:paraId="6884A25E">
            <w:pPr>
              <w:spacing w:line="280" w:lineRule="exact"/>
              <w:jc w:val="center"/>
              <w:rPr>
                <w:rFonts w:ascii="仿宋" w:hAnsi="仿宋" w:eastAsia="仿宋" w:cs="宋体"/>
                <w:szCs w:val="21"/>
              </w:rPr>
            </w:pPr>
            <w:r>
              <w:rPr>
                <w:rFonts w:hint="eastAsia" w:ascii="仿宋" w:hAnsi="仿宋" w:eastAsia="仿宋"/>
                <w:szCs w:val="21"/>
              </w:rPr>
              <w:t>四川省城市建设工程咨询集团有限公司</w:t>
            </w:r>
          </w:p>
        </w:tc>
        <w:tc>
          <w:tcPr>
            <w:tcW w:w="555" w:type="pct"/>
            <w:vAlign w:val="center"/>
          </w:tcPr>
          <w:p w14:paraId="71762A9C">
            <w:pPr>
              <w:widowControl/>
              <w:spacing w:line="280" w:lineRule="exact"/>
              <w:jc w:val="left"/>
              <w:rPr>
                <w:rFonts w:ascii="仿宋" w:hAnsi="仿宋" w:eastAsia="仿宋"/>
                <w:szCs w:val="21"/>
              </w:rPr>
            </w:pPr>
            <w:r>
              <w:rPr>
                <w:rFonts w:hint="eastAsia" w:ascii="仿宋" w:hAnsi="仿宋" w:eastAsia="仿宋"/>
                <w:szCs w:val="21"/>
              </w:rPr>
              <w:t>装饰装修阶段</w:t>
            </w:r>
          </w:p>
        </w:tc>
        <w:tc>
          <w:tcPr>
            <w:tcW w:w="3225" w:type="pct"/>
            <w:vAlign w:val="center"/>
          </w:tcPr>
          <w:p w14:paraId="29698905">
            <w:pPr>
              <w:spacing w:line="27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监理职责无上墙，无挂设项目监理部铭牌。项目监理部无公司制定质量、安全监理管理制度。无幕墙工程监理实施细则。监理日志记录不全面，未体现监理现场安全巡视检查、签发监理通知单等内容。无总监定期质量安全监理巡视记录。脚手架安全专项施工方案无方案报审表。</w:t>
            </w:r>
          </w:p>
          <w:p w14:paraId="2A4E9DBB">
            <w:pPr>
              <w:spacing w:line="27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现场已经使用的防火岩棉、已经安装的消防泵无材料、设备进场报验无资料。无材料见证取样送检台账。未按规定对电线电缆、漏电保护开关进行平行检验。无墙体保温节能工程、屋面防水层细部构造处理的监理旁站记录。砼浇捣旁站记录内容不全面，缺核查施工准备情况等内容。无幕墙后植预埋板植筋工艺性拉拔试验报告。无给水、消防管道试压、排水管道灌水通水通球、导线绝缘电阻测试记录。无给排水、消防工程检验批报验资料。无幕墙骨袈隐蔽工程验收记录。管井内消防立管套管高度不足，排水立管止水台高度不足（被地面找平层掩埋）；消防按钮线埋墙未使用套管；消防泵房风管穿墙未安装钢套管；伸顶通气管穿屋面楼板未埋设钢套管。未建立危大工程安全管理档案。外墙落地窗玻璃窗扇未安装镂空部位、雨水井、电力井无做安全防护。配电箱无巡查记录，使用插排。地下室集水坑未上盖板无做安全防护。</w:t>
            </w:r>
          </w:p>
        </w:tc>
      </w:tr>
      <w:tr w14:paraId="129E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5" w:hRule="atLeast"/>
        </w:trPr>
        <w:tc>
          <w:tcPr>
            <w:tcW w:w="199" w:type="pct"/>
            <w:vAlign w:val="center"/>
          </w:tcPr>
          <w:p w14:paraId="2798BB58">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3</w:t>
            </w:r>
          </w:p>
        </w:tc>
        <w:tc>
          <w:tcPr>
            <w:tcW w:w="516" w:type="pct"/>
            <w:vAlign w:val="center"/>
          </w:tcPr>
          <w:p w14:paraId="1D488B1D">
            <w:pPr>
              <w:spacing w:line="280" w:lineRule="exact"/>
              <w:jc w:val="center"/>
              <w:rPr>
                <w:rFonts w:ascii="仿宋" w:hAnsi="仿宋" w:eastAsia="仿宋"/>
                <w:szCs w:val="21"/>
              </w:rPr>
            </w:pPr>
            <w:r>
              <w:rPr>
                <w:rFonts w:hint="eastAsia" w:ascii="仿宋" w:hAnsi="仿宋" w:eastAsia="仿宋"/>
                <w:szCs w:val="21"/>
              </w:rPr>
              <w:t>东南汽车产线一期二阶段增补项目-焊装二车间及工艺通廊 、冲焊总车间改扩建项目-门卫三及冲焊过街通廊★东南汽车产线改造升级冲焊总车间改扩建项目-废水处理站一、固废库、联合动力站房、危废库★东南汽车产线一期二阶段增补项目—交检间（扩建）★</w:t>
            </w:r>
          </w:p>
        </w:tc>
        <w:tc>
          <w:tcPr>
            <w:tcW w:w="505" w:type="pct"/>
            <w:vAlign w:val="center"/>
          </w:tcPr>
          <w:p w14:paraId="0D9DA010">
            <w:pPr>
              <w:spacing w:line="280" w:lineRule="exact"/>
              <w:jc w:val="center"/>
              <w:rPr>
                <w:rFonts w:ascii="仿宋" w:hAnsi="仿宋" w:eastAsia="仿宋"/>
                <w:szCs w:val="21"/>
              </w:rPr>
            </w:pPr>
            <w:r>
              <w:rPr>
                <w:rFonts w:hint="eastAsia" w:ascii="仿宋" w:hAnsi="仿宋" w:eastAsia="仿宋"/>
                <w:szCs w:val="21"/>
              </w:rPr>
              <w:t>安徽远信工程项目管理有限公司</w:t>
            </w:r>
          </w:p>
        </w:tc>
        <w:tc>
          <w:tcPr>
            <w:tcW w:w="555" w:type="pct"/>
            <w:vAlign w:val="center"/>
          </w:tcPr>
          <w:p w14:paraId="3ACE4852">
            <w:pPr>
              <w:widowControl/>
              <w:spacing w:line="280" w:lineRule="exact"/>
              <w:jc w:val="left"/>
              <w:rPr>
                <w:rFonts w:ascii="仿宋" w:hAnsi="仿宋" w:eastAsia="仿宋"/>
                <w:szCs w:val="21"/>
              </w:rPr>
            </w:pPr>
            <w:r>
              <w:rPr>
                <w:rFonts w:hint="eastAsia" w:ascii="仿宋" w:hAnsi="仿宋" w:eastAsia="仿宋" w:cs="宋体"/>
                <w:bCs/>
                <w:kern w:val="0"/>
                <w:szCs w:val="21"/>
              </w:rPr>
              <w:t>项目竣工预验收阶段，个别车间已投产</w:t>
            </w:r>
          </w:p>
        </w:tc>
        <w:tc>
          <w:tcPr>
            <w:tcW w:w="3225" w:type="pct"/>
          </w:tcPr>
          <w:p w14:paraId="070D0D61">
            <w:pPr>
              <w:spacing w:line="280" w:lineRule="exact"/>
              <w:rPr>
                <w:rFonts w:ascii="仿宋" w:hAnsi="仿宋" w:eastAsia="仿宋" w:cs="宋体"/>
                <w:bCs/>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bCs/>
                <w:kern w:val="0"/>
                <w:szCs w:val="21"/>
              </w:rPr>
              <w:t>未到位人员未登录“项目监管系统”请假登记留痕。项目监理部无总监任命书、中标通知书、监理合同等文件。监理职责无上墙，无挂设项目监理部铭牌。无公司制定质量、安全监理管理制度。2025年第一季度监理单位对项目检查未留下可追溯记录照片或视频材料；2025年第二季度监理单位未对项目进行质量安全检查。内业资料无分类组卷存档管理。监理规划无审批表；监理规划针对性不强，缺监理工作范围、监理组织形式、监理人员配备及进退场计划、安全生产管理的监理工作、组织协调、监理工作设施等主要内容。监理实施细则审批表无审批记录。监理日志记录不全面，未记录天气和施工环境情况、施工单位作业人员及设备情况、当日完成工程量及施工工艺执行情况、当日存在的问题及处理情况等内容，无总监审阅；2024年12月7日至今无监理日志记录。无总监定期质量安全监理巡视记录。2024年12月份至今无编制监理月报。无开工生产条件审查、无开工报告。施工组织设计缺安装专业监理工程师签字，无加盖总监执业章；施工组织设计中施工方法和方案措施缺暖通、消防、智能化安装工程的相关内容。盘扣式高大模板专项施工方案无论证前审查记录，论证后报审表无监理审核意见、缺专业监理工程师签字、无加盖总监执业章、无审批日期。对分包单位审核不全，未对检测、商混等单位资格审核。无监理图纸自审记录，无图纸会审记录。</w:t>
            </w:r>
          </w:p>
          <w:p w14:paraId="7D3403C4">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bCs/>
                <w:kern w:val="0"/>
                <w:szCs w:val="21"/>
              </w:rPr>
              <w:t>无水电安装工程材料进场报验资料。无材料见证取样送检台账。未按规定对电线电缆、漏电保护开关进行平行检验。旁站方案编写依据均为废止的规范、标准，旁站范围和内容与所建工程不相符，存在套用其他项目内容。桩基监理旁站记录无旁站人员签名，无附举牌影像资料。无钢结构安装工程旁站记录。钢筋混凝土预制桩检验批、隐蔽工程报验资料签章不全。监理通知单（编号：20250618、编号：20250611）未及时反馈。无定期安全监理巡视检查记录、危险性较大的分部分项工程专项巡视检查记录。无危险性较大的模板支撑架验收资料。未建立危大工程安全管理档案。未督促施工单位组织应急演练。</w:t>
            </w:r>
          </w:p>
        </w:tc>
      </w:tr>
      <w:tr w14:paraId="5084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0" w:hRule="atLeast"/>
        </w:trPr>
        <w:tc>
          <w:tcPr>
            <w:tcW w:w="199" w:type="pct"/>
            <w:vAlign w:val="center"/>
          </w:tcPr>
          <w:p w14:paraId="2AA9F45A">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4</w:t>
            </w:r>
          </w:p>
        </w:tc>
        <w:tc>
          <w:tcPr>
            <w:tcW w:w="516" w:type="pct"/>
            <w:vAlign w:val="center"/>
          </w:tcPr>
          <w:p w14:paraId="33820AC5">
            <w:pPr>
              <w:spacing w:line="280" w:lineRule="exact"/>
              <w:jc w:val="center"/>
              <w:rPr>
                <w:rFonts w:ascii="仿宋" w:hAnsi="仿宋" w:eastAsia="仿宋"/>
                <w:szCs w:val="21"/>
              </w:rPr>
            </w:pPr>
            <w:r>
              <w:rPr>
                <w:rFonts w:hint="eastAsia" w:ascii="仿宋" w:hAnsi="仿宋" w:eastAsia="仿宋"/>
                <w:szCs w:val="21"/>
              </w:rPr>
              <w:t>福建康宸船舶设备有限公司1#厂房及连廊、2#厂房、办公楼、3#厂房、配电房、门卫及零件维修间</w:t>
            </w:r>
          </w:p>
        </w:tc>
        <w:tc>
          <w:tcPr>
            <w:tcW w:w="505" w:type="pct"/>
            <w:vAlign w:val="center"/>
          </w:tcPr>
          <w:p w14:paraId="4EF934A6">
            <w:pPr>
              <w:spacing w:line="280" w:lineRule="exact"/>
              <w:jc w:val="center"/>
              <w:rPr>
                <w:rFonts w:ascii="仿宋" w:hAnsi="仿宋" w:eastAsia="仿宋"/>
                <w:szCs w:val="21"/>
              </w:rPr>
            </w:pPr>
            <w:r>
              <w:rPr>
                <w:rFonts w:hint="eastAsia" w:ascii="仿宋" w:hAnsi="仿宋" w:eastAsia="仿宋"/>
                <w:szCs w:val="21"/>
              </w:rPr>
              <w:t>福建中汇巨工程管理有限公司</w:t>
            </w:r>
          </w:p>
        </w:tc>
        <w:tc>
          <w:tcPr>
            <w:tcW w:w="555" w:type="pct"/>
            <w:vAlign w:val="center"/>
          </w:tcPr>
          <w:p w14:paraId="7B46791B">
            <w:pPr>
              <w:widowControl/>
              <w:spacing w:line="280" w:lineRule="exact"/>
              <w:jc w:val="left"/>
              <w:rPr>
                <w:rFonts w:ascii="仿宋" w:hAnsi="仿宋" w:eastAsia="仿宋"/>
                <w:szCs w:val="21"/>
              </w:rPr>
            </w:pPr>
            <w:r>
              <w:rPr>
                <w:rFonts w:hint="eastAsia" w:ascii="仿宋" w:hAnsi="仿宋" w:eastAsia="仿宋" w:cs="宋体"/>
                <w:kern w:val="0"/>
                <w:szCs w:val="21"/>
              </w:rPr>
              <w:t>办公楼装饰装修、3#厂房桩基施工阶段</w:t>
            </w:r>
          </w:p>
        </w:tc>
        <w:tc>
          <w:tcPr>
            <w:tcW w:w="3225" w:type="pct"/>
            <w:vAlign w:val="center"/>
          </w:tcPr>
          <w:p w14:paraId="7F8B40C5">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总监理未办理备案变更手续，备案人员无水电专业。项目监理部无公司制定质量、安全监理管理制度。监理规划缺监理组织形式、人员进退场计划、安全生产管理的工作、组织协调等主要内容。监理日志记录不全面，未记录施工单位作业人员及设备情况、当日施工进展情况、监理工作情况等内容。无总监定期质量安全监理巡视记录。无开工生产条件审查、无开工报告、开工令。施工组织设计无加盖总监执业印章。无安全生产应急救援预案。无施工项目管理机构报备、建筑施工特种作业人员报审资料。对分包单位审核不全，未对检测、商混等单位资格审核。无图纸会审记录，无监理图纸自审记录。</w:t>
            </w:r>
          </w:p>
          <w:p w14:paraId="21E9DE4B">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无水电安装工程材料进场报验资料。无水电安装工程检验批、隐蔽工程验收记录资料。无3#厂房桩基（植桩）试桩记录。穿人防墙钢套管未预埋（现场后钻孔）。地下室外墙局部渗漏较为严重。未督促施工单位组织应急演练。无扣件式钢管脚手架扣件扭力矩、密目网性能进场复验报告。办公楼外架基础无硬化处理，立杆基础外侧无有效排水措施；外架离构筑物间隙大于150mm无采取防护措施。办公楼电梯井道无做层间水平安全防护，水管井道洞口无做安全防护。3#厂房桩基施工后空孔无及时回填或遮盖。地下室集水坑无做安全防护；管件焊作区域无配备灭火器具、使用插排；配电箱缺系统图、巡检记录。无进度计划报审资料。</w:t>
            </w:r>
          </w:p>
        </w:tc>
      </w:tr>
      <w:tr w14:paraId="3F2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8" w:hRule="atLeast"/>
        </w:trPr>
        <w:tc>
          <w:tcPr>
            <w:tcW w:w="199" w:type="pct"/>
            <w:tcBorders>
              <w:top w:val="single" w:color="auto" w:sz="4" w:space="0"/>
              <w:left w:val="single" w:color="auto" w:sz="4" w:space="0"/>
              <w:bottom w:val="single" w:color="auto" w:sz="4" w:space="0"/>
              <w:right w:val="single" w:color="auto" w:sz="4" w:space="0"/>
            </w:tcBorders>
            <w:vAlign w:val="center"/>
          </w:tcPr>
          <w:p w14:paraId="31217355">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5</w:t>
            </w:r>
          </w:p>
        </w:tc>
        <w:tc>
          <w:tcPr>
            <w:tcW w:w="516" w:type="pct"/>
            <w:tcBorders>
              <w:top w:val="single" w:color="auto" w:sz="4" w:space="0"/>
              <w:left w:val="single" w:color="auto" w:sz="4" w:space="0"/>
              <w:bottom w:val="single" w:color="auto" w:sz="4" w:space="0"/>
              <w:right w:val="single" w:color="auto" w:sz="4" w:space="0"/>
            </w:tcBorders>
            <w:vAlign w:val="center"/>
          </w:tcPr>
          <w:p w14:paraId="3153B6D6">
            <w:pPr>
              <w:spacing w:line="280" w:lineRule="exact"/>
              <w:jc w:val="center"/>
              <w:rPr>
                <w:rFonts w:ascii="仿宋" w:hAnsi="仿宋" w:eastAsia="仿宋"/>
                <w:szCs w:val="21"/>
              </w:rPr>
            </w:pPr>
            <w:r>
              <w:rPr>
                <w:rFonts w:hint="eastAsia" w:ascii="仿宋" w:hAnsi="仿宋" w:eastAsia="仿宋"/>
                <w:szCs w:val="21"/>
              </w:rPr>
              <w:t>泉州城建-水墨江珊项目</w:t>
            </w:r>
          </w:p>
        </w:tc>
        <w:tc>
          <w:tcPr>
            <w:tcW w:w="505" w:type="pct"/>
            <w:tcBorders>
              <w:top w:val="single" w:color="auto" w:sz="4" w:space="0"/>
              <w:left w:val="single" w:color="auto" w:sz="4" w:space="0"/>
              <w:bottom w:val="single" w:color="auto" w:sz="4" w:space="0"/>
              <w:right w:val="single" w:color="auto" w:sz="4" w:space="0"/>
            </w:tcBorders>
            <w:vAlign w:val="center"/>
          </w:tcPr>
          <w:p w14:paraId="69FEAE68">
            <w:pPr>
              <w:spacing w:line="280" w:lineRule="exact"/>
              <w:jc w:val="center"/>
              <w:rPr>
                <w:rFonts w:ascii="仿宋" w:hAnsi="仿宋" w:eastAsia="仿宋"/>
                <w:szCs w:val="21"/>
              </w:rPr>
            </w:pPr>
            <w:r>
              <w:rPr>
                <w:rFonts w:hint="eastAsia" w:ascii="仿宋" w:hAnsi="仿宋" w:eastAsia="仿宋"/>
                <w:szCs w:val="21"/>
              </w:rPr>
              <w:t>厦门市杏林建发工程监理有限公司</w:t>
            </w:r>
          </w:p>
        </w:tc>
        <w:tc>
          <w:tcPr>
            <w:tcW w:w="555" w:type="pct"/>
            <w:tcBorders>
              <w:top w:val="single" w:color="auto" w:sz="4" w:space="0"/>
              <w:left w:val="single" w:color="auto" w:sz="4" w:space="0"/>
              <w:bottom w:val="single" w:color="auto" w:sz="4" w:space="0"/>
              <w:right w:val="single" w:color="auto" w:sz="4" w:space="0"/>
            </w:tcBorders>
            <w:vAlign w:val="center"/>
          </w:tcPr>
          <w:p w14:paraId="73E09C13">
            <w:pPr>
              <w:widowControl/>
              <w:spacing w:line="280" w:lineRule="exact"/>
              <w:jc w:val="left"/>
              <w:rPr>
                <w:rFonts w:ascii="仿宋" w:hAnsi="仿宋" w:eastAsia="仿宋"/>
                <w:szCs w:val="21"/>
              </w:rPr>
            </w:pPr>
            <w:r>
              <w:rPr>
                <w:rFonts w:hint="eastAsia" w:ascii="仿宋" w:hAnsi="仿宋" w:eastAsia="仿宋" w:cs="宋体"/>
                <w:kern w:val="0"/>
                <w:szCs w:val="21"/>
              </w:rPr>
              <w:t>结构施工阶段</w:t>
            </w:r>
          </w:p>
        </w:tc>
        <w:tc>
          <w:tcPr>
            <w:tcW w:w="3225" w:type="pct"/>
            <w:tcBorders>
              <w:top w:val="single" w:color="auto" w:sz="4" w:space="0"/>
              <w:left w:val="single" w:color="auto" w:sz="4" w:space="0"/>
              <w:bottom w:val="single" w:color="auto" w:sz="4" w:space="0"/>
              <w:right w:val="single" w:color="auto" w:sz="4" w:space="0"/>
            </w:tcBorders>
            <w:vAlign w:val="center"/>
          </w:tcPr>
          <w:p w14:paraId="728C6165">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未到位人员未登录“项目监管系统”请假登记留痕。资料报验均为复印件、没有标明原件存放处和符合性申明。10#楼基础接地电阻测试记录隐蔽验收内业资料欠缺。阻燃PVC电线套管材料报验无燃烧性能检测报告。监理日志记录不全面，未体现监理现场巡视检查等活动情况。</w:t>
            </w:r>
          </w:p>
          <w:p w14:paraId="3EC3D48C">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混凝土试块未及时送检；钢筋堆放区场地没有硬化；一期2#楼地下室顶板模支主檩条使用单根方钢；一期2#楼地下室顶板模支外侧立杆离墙达到600mm，超过方案的250mm的要求。12#楼混凝土柱错台超过20mm。10#楼12层剪力墙竖向钢筋无接地标识，且接地钢筋不足16mm无跨接加强措施。楼层多处预留洞口未覆盖，通道未设置防砸棚，钢筋加工设备未设置防砸棚。箍筋加工设备没有电工巡检记录，箍筋设备接地Pe线没有接，箍筋加工不在防护棚之内。一期2#楼末级箱没有电工巡检记录、末级箱内一个闸下面接出两个漏保。12#楼临电二级箱重复接地措施不规范，且铁质防护棚未接地。盘筋堆放在斜坡上有滚落安全隐患没有发出监理通知单要求整改。</w:t>
            </w:r>
          </w:p>
        </w:tc>
      </w:tr>
      <w:tr w14:paraId="2355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0" w:hRule="atLeast"/>
        </w:trPr>
        <w:tc>
          <w:tcPr>
            <w:tcW w:w="199" w:type="pct"/>
            <w:tcBorders>
              <w:top w:val="single" w:color="auto" w:sz="4" w:space="0"/>
              <w:left w:val="single" w:color="auto" w:sz="4" w:space="0"/>
              <w:bottom w:val="single" w:color="auto" w:sz="4" w:space="0"/>
              <w:right w:val="single" w:color="auto" w:sz="4" w:space="0"/>
            </w:tcBorders>
            <w:vAlign w:val="center"/>
          </w:tcPr>
          <w:p w14:paraId="00311383">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6</w:t>
            </w:r>
          </w:p>
        </w:tc>
        <w:tc>
          <w:tcPr>
            <w:tcW w:w="516" w:type="pct"/>
            <w:tcBorders>
              <w:top w:val="single" w:color="auto" w:sz="4" w:space="0"/>
              <w:left w:val="single" w:color="auto" w:sz="4" w:space="0"/>
              <w:bottom w:val="single" w:color="auto" w:sz="4" w:space="0"/>
              <w:right w:val="single" w:color="auto" w:sz="4" w:space="0"/>
            </w:tcBorders>
            <w:vAlign w:val="center"/>
          </w:tcPr>
          <w:p w14:paraId="2292CE4D">
            <w:pPr>
              <w:spacing w:line="280" w:lineRule="exact"/>
              <w:jc w:val="center"/>
              <w:rPr>
                <w:rFonts w:ascii="仿宋" w:hAnsi="仿宋" w:eastAsia="仿宋"/>
                <w:szCs w:val="21"/>
              </w:rPr>
            </w:pPr>
            <w:r>
              <w:rPr>
                <w:rFonts w:hint="eastAsia" w:ascii="仿宋" w:hAnsi="仿宋" w:eastAsia="仿宋"/>
                <w:szCs w:val="21"/>
              </w:rPr>
              <w:t>晋江市韵升纺织科技有限公司厂房及配套设施一期</w:t>
            </w:r>
          </w:p>
        </w:tc>
        <w:tc>
          <w:tcPr>
            <w:tcW w:w="505" w:type="pct"/>
            <w:tcBorders>
              <w:top w:val="single" w:color="auto" w:sz="4" w:space="0"/>
              <w:left w:val="single" w:color="auto" w:sz="4" w:space="0"/>
              <w:bottom w:val="single" w:color="auto" w:sz="4" w:space="0"/>
              <w:right w:val="single" w:color="auto" w:sz="4" w:space="0"/>
            </w:tcBorders>
            <w:vAlign w:val="center"/>
          </w:tcPr>
          <w:p w14:paraId="5CCDDB1A">
            <w:pPr>
              <w:spacing w:line="280" w:lineRule="exact"/>
              <w:jc w:val="center"/>
              <w:rPr>
                <w:rFonts w:ascii="仿宋" w:hAnsi="仿宋" w:eastAsia="仿宋"/>
                <w:szCs w:val="21"/>
              </w:rPr>
            </w:pPr>
            <w:r>
              <w:rPr>
                <w:rFonts w:hint="eastAsia" w:ascii="仿宋" w:hAnsi="仿宋" w:eastAsia="仿宋"/>
                <w:szCs w:val="21"/>
              </w:rPr>
              <w:t>福建建发工程咨询有限责任公司</w:t>
            </w:r>
          </w:p>
        </w:tc>
        <w:tc>
          <w:tcPr>
            <w:tcW w:w="555" w:type="pct"/>
            <w:tcBorders>
              <w:top w:val="single" w:color="auto" w:sz="4" w:space="0"/>
              <w:left w:val="single" w:color="auto" w:sz="4" w:space="0"/>
              <w:bottom w:val="single" w:color="auto" w:sz="4" w:space="0"/>
              <w:right w:val="single" w:color="auto" w:sz="4" w:space="0"/>
            </w:tcBorders>
            <w:vAlign w:val="center"/>
          </w:tcPr>
          <w:p w14:paraId="64E920D3">
            <w:pPr>
              <w:widowControl/>
              <w:spacing w:line="280" w:lineRule="exact"/>
              <w:jc w:val="left"/>
              <w:rPr>
                <w:rFonts w:ascii="仿宋" w:hAnsi="仿宋" w:eastAsia="仿宋"/>
                <w:szCs w:val="21"/>
              </w:rPr>
            </w:pPr>
            <w:r>
              <w:rPr>
                <w:rFonts w:hint="eastAsia" w:ascii="仿宋" w:hAnsi="仿宋" w:eastAsia="仿宋" w:cs="宋体"/>
                <w:kern w:val="0"/>
                <w:szCs w:val="21"/>
              </w:rPr>
              <w:t>装饰装修阶段</w:t>
            </w:r>
          </w:p>
        </w:tc>
        <w:tc>
          <w:tcPr>
            <w:tcW w:w="3225" w:type="pct"/>
            <w:tcBorders>
              <w:top w:val="single" w:color="auto" w:sz="4" w:space="0"/>
              <w:left w:val="single" w:color="auto" w:sz="4" w:space="0"/>
              <w:bottom w:val="single" w:color="auto" w:sz="4" w:space="0"/>
              <w:right w:val="single" w:color="auto" w:sz="4" w:space="0"/>
            </w:tcBorders>
            <w:vAlign w:val="center"/>
          </w:tcPr>
          <w:p w14:paraId="4F260E6D">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监理职责无上墙，无挂设项目监理部铭牌。项目监理部无公司制定质量、安全监理管理制度。阻燃电缆桥架、喷淋头无材料报验，现场已使用。监理日志记录不全面，未体现监理现场安全巡视检查、签发监理通知单等内容。监理日志记录人和总监均没有手签。</w:t>
            </w:r>
          </w:p>
          <w:p w14:paraId="1C44AE7E">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所有的砂浆试块均没有见证送检。外脚手架基础积水，脚手架开口未及时修复，外架连墙件设置不可靠。装修脚手架材料堆放未设置硬防护。一层地面砂浆搅拌未张挂配合比。一层室内砂浆喷涂设备的末级箱没有电工巡检记录、箱盖没有接地跨接。一层室内砂浆喷涂设备电缆线破皮、没有接地保护。一层室内粉刷脚手架立杆缺少一根、水平大横杆变形。四层排烟风管超过1200mm下方未设置下喷淋头。2025年7月出厂的水泥无进场抽样检验报告。每层公共卫生间洗手池没有等电位端子预埋。四层消防主管未设置防晃支架。多名工人未正确佩戴安全帽。电梯井道内未按规定设置水平防护。施工电梯卸料平台立面没有封闭，卸料平台倒坡，卸料平台防护栏踢脚板缺失，部分楼层施工电梯卸料平台连墙件未与主体结构相连，防护门下部距离地面超过50mm。施工电梯轿厢人脸识别装置未设置。</w:t>
            </w:r>
          </w:p>
        </w:tc>
      </w:tr>
      <w:tr w14:paraId="565A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2" w:hRule="atLeast"/>
        </w:trPr>
        <w:tc>
          <w:tcPr>
            <w:tcW w:w="199" w:type="pct"/>
            <w:tcBorders>
              <w:top w:val="single" w:color="auto" w:sz="4" w:space="0"/>
              <w:left w:val="single" w:color="auto" w:sz="4" w:space="0"/>
              <w:bottom w:val="single" w:color="auto" w:sz="4" w:space="0"/>
              <w:right w:val="single" w:color="auto" w:sz="4" w:space="0"/>
            </w:tcBorders>
            <w:vAlign w:val="center"/>
          </w:tcPr>
          <w:p w14:paraId="4729CD63">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7</w:t>
            </w:r>
          </w:p>
        </w:tc>
        <w:tc>
          <w:tcPr>
            <w:tcW w:w="516" w:type="pct"/>
            <w:tcBorders>
              <w:top w:val="single" w:color="auto" w:sz="4" w:space="0"/>
              <w:left w:val="single" w:color="auto" w:sz="4" w:space="0"/>
              <w:bottom w:val="single" w:color="auto" w:sz="4" w:space="0"/>
              <w:right w:val="single" w:color="auto" w:sz="4" w:space="0"/>
            </w:tcBorders>
            <w:vAlign w:val="center"/>
          </w:tcPr>
          <w:p w14:paraId="52EA5357">
            <w:pPr>
              <w:spacing w:line="280" w:lineRule="exact"/>
              <w:jc w:val="center"/>
              <w:rPr>
                <w:rFonts w:ascii="仿宋" w:hAnsi="仿宋" w:eastAsia="仿宋"/>
                <w:szCs w:val="21"/>
              </w:rPr>
            </w:pPr>
            <w:r>
              <w:rPr>
                <w:rFonts w:hint="eastAsia" w:ascii="仿宋" w:hAnsi="仿宋" w:eastAsia="仿宋"/>
                <w:szCs w:val="21"/>
              </w:rPr>
              <w:t>金曾片区改造项目股权合作、建设及运营一体化项目</w:t>
            </w:r>
          </w:p>
        </w:tc>
        <w:tc>
          <w:tcPr>
            <w:tcW w:w="505" w:type="pct"/>
            <w:tcBorders>
              <w:top w:val="single" w:color="auto" w:sz="4" w:space="0"/>
              <w:left w:val="single" w:color="auto" w:sz="4" w:space="0"/>
              <w:bottom w:val="single" w:color="auto" w:sz="4" w:space="0"/>
              <w:right w:val="single" w:color="auto" w:sz="4" w:space="0"/>
            </w:tcBorders>
            <w:vAlign w:val="center"/>
          </w:tcPr>
          <w:p w14:paraId="7F90EC0D">
            <w:pPr>
              <w:spacing w:line="280" w:lineRule="exact"/>
              <w:jc w:val="center"/>
              <w:rPr>
                <w:rFonts w:ascii="仿宋" w:hAnsi="仿宋" w:eastAsia="仿宋"/>
                <w:szCs w:val="21"/>
              </w:rPr>
            </w:pPr>
            <w:r>
              <w:rPr>
                <w:rFonts w:hint="eastAsia" w:ascii="仿宋" w:hAnsi="仿宋" w:eastAsia="仿宋"/>
                <w:szCs w:val="21"/>
              </w:rPr>
              <w:t>福建盛越建设有限公司</w:t>
            </w:r>
          </w:p>
        </w:tc>
        <w:tc>
          <w:tcPr>
            <w:tcW w:w="555" w:type="pct"/>
            <w:tcBorders>
              <w:top w:val="single" w:color="auto" w:sz="4" w:space="0"/>
              <w:left w:val="single" w:color="auto" w:sz="4" w:space="0"/>
              <w:bottom w:val="single" w:color="auto" w:sz="4" w:space="0"/>
              <w:right w:val="single" w:color="auto" w:sz="4" w:space="0"/>
            </w:tcBorders>
            <w:vAlign w:val="center"/>
          </w:tcPr>
          <w:p w14:paraId="4F73D64C">
            <w:pPr>
              <w:widowControl/>
              <w:spacing w:line="280" w:lineRule="exact"/>
              <w:jc w:val="left"/>
              <w:rPr>
                <w:rFonts w:ascii="仿宋" w:hAnsi="仿宋" w:eastAsia="仿宋"/>
                <w:szCs w:val="21"/>
              </w:rPr>
            </w:pPr>
            <w:r>
              <w:rPr>
                <w:rFonts w:hint="eastAsia" w:ascii="仿宋" w:hAnsi="仿宋" w:eastAsia="仿宋" w:cs="宋体"/>
                <w:kern w:val="0"/>
                <w:szCs w:val="21"/>
              </w:rPr>
              <w:t>结构主体阶段，部分楼栋已经封顶</w:t>
            </w:r>
          </w:p>
        </w:tc>
        <w:tc>
          <w:tcPr>
            <w:tcW w:w="3225" w:type="pct"/>
            <w:tcBorders>
              <w:top w:val="single" w:color="auto" w:sz="4" w:space="0"/>
              <w:left w:val="single" w:color="auto" w:sz="4" w:space="0"/>
              <w:bottom w:val="single" w:color="auto" w:sz="4" w:space="0"/>
              <w:right w:val="single" w:color="auto" w:sz="4" w:space="0"/>
            </w:tcBorders>
            <w:vAlign w:val="center"/>
          </w:tcPr>
          <w:p w14:paraId="4367FA25">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项目部没有编制水电安装专业监理实施细则。</w:t>
            </w:r>
          </w:p>
          <w:p w14:paraId="5B6DBEA4">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各栋楼屋面外挑造型模板支架悬挑安装与方案不符且没有该处模板安装验收记录。无3#楼层水电专业隐蔽验收记录。部分剪力墙未设置间隔件，剪力墙间隔件采用塑料制品。8#楼19层混凝土同条件试块缺失。3#楼16层板KLL(4)梁主筋伸入支座的锚固长度达不到规范要求。8#楼18、19层外侧柱钢筋缺内箍与设计图纸不符；8#楼18层空中花园模板最外侧立杆悬空；8#楼19层墙柱钢筋保护层没有设置。3#楼16层JDG管接头无紧定螺钉，仅采用胶布缠绕。各层配电箱没有电工每日巡检。3#楼塔吊无月检维保资料留存项目部。部分钢筋加工设备未设置防砸棚，部分工人未正确佩戴安全帽。外脚手架与主体边缘间距大于150mm，未设置水平防护措施。临时消防给水点未配置水枪、水带、软管。外脚手架与模板支撑架相连。8#楼18层外架堆满铝模材料。8#楼19层工人未佩戴安全帽。3#楼16层焊机无专用开关箱，楼层配电箱挂在外架无绝缘措施。转料平台未设置临边防护。5#楼北侧地下室顶板设混凝土搅拌车道地下室顶板没有回顶，与方案不符。地下室施工电梯顶板回顶基础积水。每栋楼四代住宅大阳台外架连墙件使用预埋螺栓与方案预埋焊接不符。3#楼升降机未启用人脸识别系统。每栋楼电梯井道没有分2层设置硬隔断防护。厂内道路转角路段未设置反光柱、转角灯。</w:t>
            </w:r>
          </w:p>
        </w:tc>
      </w:tr>
      <w:tr w14:paraId="575C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5" w:hRule="atLeast"/>
        </w:trPr>
        <w:tc>
          <w:tcPr>
            <w:tcW w:w="199" w:type="pct"/>
            <w:tcBorders>
              <w:top w:val="single" w:color="auto" w:sz="4" w:space="0"/>
              <w:left w:val="single" w:color="auto" w:sz="4" w:space="0"/>
              <w:bottom w:val="single" w:color="auto" w:sz="4" w:space="0"/>
              <w:right w:val="single" w:color="auto" w:sz="4" w:space="0"/>
            </w:tcBorders>
            <w:vAlign w:val="center"/>
          </w:tcPr>
          <w:p w14:paraId="2326D20B">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8</w:t>
            </w:r>
          </w:p>
        </w:tc>
        <w:tc>
          <w:tcPr>
            <w:tcW w:w="516" w:type="pct"/>
            <w:tcBorders>
              <w:top w:val="single" w:color="auto" w:sz="4" w:space="0"/>
              <w:left w:val="single" w:color="auto" w:sz="4" w:space="0"/>
              <w:bottom w:val="single" w:color="auto" w:sz="4" w:space="0"/>
              <w:right w:val="single" w:color="auto" w:sz="4" w:space="0"/>
            </w:tcBorders>
            <w:vAlign w:val="center"/>
          </w:tcPr>
          <w:p w14:paraId="05FDE111">
            <w:pPr>
              <w:spacing w:line="240" w:lineRule="exact"/>
              <w:jc w:val="center"/>
              <w:rPr>
                <w:rFonts w:ascii="仿宋" w:hAnsi="仿宋" w:eastAsia="仿宋"/>
                <w:szCs w:val="21"/>
              </w:rPr>
            </w:pPr>
            <w:r>
              <w:rPr>
                <w:rFonts w:hint="eastAsia" w:ascii="仿宋" w:hAnsi="仿宋" w:eastAsia="仿宋"/>
                <w:szCs w:val="21"/>
              </w:rPr>
              <w:t>丰2022-11-1号地块（9#、10#、12#、13#、15#-17#及其地下室）★丰2022-11-1号地块（1#-3#、5#-7#及其地下室）★丰2022-11-1号地块(8#、11#、S1#、S2#及其地下室项目</w:t>
            </w:r>
          </w:p>
        </w:tc>
        <w:tc>
          <w:tcPr>
            <w:tcW w:w="505" w:type="pct"/>
            <w:tcBorders>
              <w:top w:val="single" w:color="auto" w:sz="4" w:space="0"/>
              <w:left w:val="single" w:color="auto" w:sz="4" w:space="0"/>
              <w:bottom w:val="single" w:color="auto" w:sz="4" w:space="0"/>
              <w:right w:val="single" w:color="auto" w:sz="4" w:space="0"/>
            </w:tcBorders>
            <w:vAlign w:val="center"/>
          </w:tcPr>
          <w:p w14:paraId="27C73D53">
            <w:pPr>
              <w:spacing w:line="280" w:lineRule="exact"/>
              <w:jc w:val="center"/>
              <w:rPr>
                <w:rFonts w:ascii="仿宋" w:hAnsi="仿宋" w:eastAsia="仿宋"/>
                <w:szCs w:val="21"/>
              </w:rPr>
            </w:pPr>
            <w:r>
              <w:rPr>
                <w:rFonts w:hint="eastAsia" w:ascii="仿宋" w:hAnsi="仿宋" w:eastAsia="仿宋"/>
                <w:szCs w:val="21"/>
              </w:rPr>
              <w:t>国机中兴工程咨询有限公司</w:t>
            </w:r>
          </w:p>
        </w:tc>
        <w:tc>
          <w:tcPr>
            <w:tcW w:w="555" w:type="pct"/>
            <w:tcBorders>
              <w:top w:val="single" w:color="auto" w:sz="4" w:space="0"/>
              <w:left w:val="single" w:color="auto" w:sz="4" w:space="0"/>
              <w:bottom w:val="single" w:color="auto" w:sz="4" w:space="0"/>
              <w:right w:val="single" w:color="auto" w:sz="4" w:space="0"/>
            </w:tcBorders>
            <w:vAlign w:val="center"/>
          </w:tcPr>
          <w:p w14:paraId="7BF741FE">
            <w:pPr>
              <w:widowControl/>
              <w:spacing w:line="280" w:lineRule="exact"/>
              <w:jc w:val="left"/>
              <w:rPr>
                <w:rFonts w:ascii="仿宋" w:hAnsi="仿宋" w:eastAsia="仿宋"/>
                <w:szCs w:val="21"/>
              </w:rPr>
            </w:pPr>
            <w:r>
              <w:rPr>
                <w:rFonts w:hint="eastAsia" w:ascii="仿宋" w:hAnsi="仿宋" w:eastAsia="仿宋" w:cs="宋体"/>
                <w:kern w:val="0"/>
                <w:szCs w:val="21"/>
              </w:rPr>
              <w:t>结构主体阶段</w:t>
            </w:r>
          </w:p>
        </w:tc>
        <w:tc>
          <w:tcPr>
            <w:tcW w:w="3225" w:type="pct"/>
            <w:tcBorders>
              <w:top w:val="single" w:color="auto" w:sz="4" w:space="0"/>
              <w:left w:val="single" w:color="auto" w:sz="4" w:space="0"/>
              <w:bottom w:val="single" w:color="auto" w:sz="4" w:space="0"/>
              <w:right w:val="single" w:color="auto" w:sz="4" w:space="0"/>
            </w:tcBorders>
            <w:vAlign w:val="center"/>
          </w:tcPr>
          <w:p w14:paraId="54D3F1CB">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现场使用的JDG管只有一张合格证。</w:t>
            </w:r>
          </w:p>
          <w:p w14:paraId="79ACF531">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同条件混凝土试块监理见证员未签名，试块随意乱丢。混凝土缺陷私自修补监理部没有发监理通知单制止，混凝土缺陷修补没有标识。8#楼15层结构未验收混凝土缺陷修补监理部没有及时发现；地下室砌体墙长超5米没有设构造柱。8#楼22层楼梯底板混凝土塌陷、剪力墙混凝土爆模，8#楼23层电梯井墙竖筋缺水平定位筋，8#楼23层直螺纹露牙超过2P，8#楼20层楼梯底板私自修补，8#楼21层楼梯外墙剪力墙混凝土错台、夹塑料垃圾。梁主钢锚固长度达不到规范要求。JDG管接头缺失螺钉。8#楼施工电梯的地下室顶板回顶没有验收牌。塔吊安拆旁站记录无检查操作人员岗位证。工人没有正确佩戴安全帽。楼层洞口没有防护。各层消防没有配备2套水枪。8#楼23层工人未佩戴安全帽。施工电梯内没有张贴操作人员证书和没有人脸识别取电装置。17#楼爬架屋面层及以下2层爬梯边通道内防护缺失。地下室施工电梯位置的地下室顶板回顶支架基础积水。施工电梯卸料平台搭设与方案不符，立杆上下固定不牢，立面没有防护。</w:t>
            </w:r>
          </w:p>
        </w:tc>
      </w:tr>
      <w:tr w14:paraId="2BB3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2" w:hRule="atLeast"/>
        </w:trPr>
        <w:tc>
          <w:tcPr>
            <w:tcW w:w="199" w:type="pct"/>
            <w:tcBorders>
              <w:top w:val="single" w:color="auto" w:sz="4" w:space="0"/>
              <w:left w:val="single" w:color="auto" w:sz="4" w:space="0"/>
              <w:bottom w:val="single" w:color="auto" w:sz="4" w:space="0"/>
              <w:right w:val="single" w:color="auto" w:sz="4" w:space="0"/>
            </w:tcBorders>
            <w:vAlign w:val="center"/>
          </w:tcPr>
          <w:p w14:paraId="245AE086">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9</w:t>
            </w:r>
          </w:p>
        </w:tc>
        <w:tc>
          <w:tcPr>
            <w:tcW w:w="516" w:type="pct"/>
            <w:tcBorders>
              <w:top w:val="single" w:color="auto" w:sz="4" w:space="0"/>
              <w:left w:val="single" w:color="auto" w:sz="4" w:space="0"/>
              <w:bottom w:val="single" w:color="auto" w:sz="4" w:space="0"/>
              <w:right w:val="single" w:color="auto" w:sz="4" w:space="0"/>
            </w:tcBorders>
            <w:vAlign w:val="center"/>
          </w:tcPr>
          <w:p w14:paraId="3596A5E4">
            <w:pPr>
              <w:spacing w:line="280" w:lineRule="exact"/>
              <w:jc w:val="center"/>
              <w:rPr>
                <w:rFonts w:ascii="仿宋" w:hAnsi="仿宋" w:eastAsia="仿宋"/>
                <w:szCs w:val="21"/>
              </w:rPr>
            </w:pPr>
            <w:r>
              <w:rPr>
                <w:rFonts w:hint="eastAsia" w:ascii="仿宋" w:hAnsi="仿宋" w:eastAsia="仿宋"/>
                <w:szCs w:val="21"/>
              </w:rPr>
              <w:t>霞浦冠鼎-盛世东方</w:t>
            </w:r>
          </w:p>
        </w:tc>
        <w:tc>
          <w:tcPr>
            <w:tcW w:w="505" w:type="pct"/>
            <w:tcBorders>
              <w:top w:val="single" w:color="auto" w:sz="4" w:space="0"/>
              <w:left w:val="single" w:color="auto" w:sz="4" w:space="0"/>
              <w:bottom w:val="single" w:color="auto" w:sz="4" w:space="0"/>
              <w:right w:val="single" w:color="auto" w:sz="4" w:space="0"/>
            </w:tcBorders>
            <w:vAlign w:val="center"/>
          </w:tcPr>
          <w:p w14:paraId="0B32EACB">
            <w:pPr>
              <w:spacing w:line="280" w:lineRule="exact"/>
              <w:jc w:val="center"/>
              <w:rPr>
                <w:rFonts w:ascii="仿宋" w:hAnsi="仿宋" w:eastAsia="仿宋"/>
                <w:szCs w:val="21"/>
              </w:rPr>
            </w:pPr>
            <w:r>
              <w:rPr>
                <w:rFonts w:hint="eastAsia" w:ascii="仿宋" w:hAnsi="仿宋" w:eastAsia="仿宋"/>
                <w:szCs w:val="21"/>
              </w:rPr>
              <w:t>福建百海工程管理有限公司</w:t>
            </w:r>
          </w:p>
        </w:tc>
        <w:tc>
          <w:tcPr>
            <w:tcW w:w="555" w:type="pct"/>
            <w:tcBorders>
              <w:top w:val="single" w:color="auto" w:sz="4" w:space="0"/>
              <w:left w:val="single" w:color="auto" w:sz="4" w:space="0"/>
              <w:bottom w:val="single" w:color="auto" w:sz="4" w:space="0"/>
              <w:right w:val="single" w:color="auto" w:sz="4" w:space="0"/>
            </w:tcBorders>
            <w:vAlign w:val="center"/>
          </w:tcPr>
          <w:p w14:paraId="51BBB4E4">
            <w:pPr>
              <w:widowControl/>
              <w:spacing w:line="280" w:lineRule="exact"/>
              <w:jc w:val="left"/>
              <w:rPr>
                <w:rFonts w:ascii="仿宋" w:hAnsi="仿宋" w:eastAsia="仿宋"/>
                <w:szCs w:val="21"/>
              </w:rPr>
            </w:pPr>
            <w:r>
              <w:rPr>
                <w:rFonts w:hint="eastAsia" w:ascii="仿宋" w:hAnsi="仿宋" w:eastAsia="仿宋" w:cs="宋体"/>
                <w:kern w:val="0"/>
                <w:szCs w:val="21"/>
              </w:rPr>
              <w:t>装饰装修阶段</w:t>
            </w:r>
          </w:p>
        </w:tc>
        <w:tc>
          <w:tcPr>
            <w:tcW w:w="3225" w:type="pct"/>
            <w:tcBorders>
              <w:top w:val="single" w:color="auto" w:sz="4" w:space="0"/>
              <w:left w:val="single" w:color="auto" w:sz="4" w:space="0"/>
              <w:bottom w:val="single" w:color="auto" w:sz="4" w:space="0"/>
              <w:right w:val="single" w:color="auto" w:sz="4" w:space="0"/>
            </w:tcBorders>
            <w:vAlign w:val="center"/>
          </w:tcPr>
          <w:p w14:paraId="528FC5BF">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检查时监理项目部仅到位总监1人，</w:t>
            </w:r>
            <w:r>
              <w:rPr>
                <w:rFonts w:hint="eastAsia" w:ascii="仿宋" w:hAnsi="仿宋" w:eastAsia="仿宋" w:cs="宋体"/>
                <w:bCs/>
                <w:kern w:val="0"/>
                <w:szCs w:val="21"/>
              </w:rPr>
              <w:t>未到位人员未登录“项目监管系统”请假登记留痕。</w:t>
            </w:r>
            <w:r>
              <w:rPr>
                <w:rFonts w:hint="eastAsia" w:ascii="仿宋" w:hAnsi="仿宋" w:eastAsia="仿宋" w:cs="宋体"/>
                <w:kern w:val="0"/>
                <w:szCs w:val="21"/>
              </w:rPr>
              <w:t>监理职责无上墙，无挂设项目监理部铭牌。项目监理部无公司制定质量、安全监理管理制度。无监理单位巡查或季度质量安全检查记录，多份监理通知单监理未签署整改复查意见，内业资料无及时组卷归档，项目部无留存机电安装内业资料。监理规划内容不全面，悬挑脚手架监理细则无编制人、审核人，同一时间监理细则审核人为不同总监，监理旁站记录不齐全。</w:t>
            </w:r>
          </w:p>
          <w:p w14:paraId="7B910E33">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未建立危大工程安全管理档案。外架在屋面女儿墙造型处外挑无方案设计、无脚手板满铺。顶层阳台顶部阴角粉刷垂直度偏差超大。地下室桥架支吊架未做通长接地跨接，地下室配电箱电工没有每日巡检，地下室管道穿墙多处未设置套管，地下室2#楼塔吊旁边的配电箱使用BV线取电。整个工程超过30米以上的阳台栏杆未预留接地圆钢连接点。屋面施工保温保护层工人未佩戴安全帽，屋面部分临边无防护。电梯井道未设置水平防护，电梯井口防护栏杆未固定。施工电梯卸料平台中间立杆少一根连接杆。2#楼塔吊在地下室顶板处无临边防护，2#楼使用施工电梯搬运钢管，防护棚提前拆除；2#楼外墙正在使用吊篮架施工外墙漆阳台永久栏杆还没有安装，无临边防护。6#楼吊篮架防冒顶限位开关涂满真石漆不能复位。7#楼18层套内排水立管未安装阻火圈，7#楼塔吊塔节无生产日期钢印。地面小区主出入口处的配电箱两个用电设备接在同一个空开上且没有通过漏保。施工电梯轿厢内未设置限重警示牌。对安全通道、临边防护、外脚手架悬挑、临电等安全隐患未及时要求责任单位整改。</w:t>
            </w:r>
          </w:p>
        </w:tc>
      </w:tr>
      <w:tr w14:paraId="3BD7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trPr>
        <w:tc>
          <w:tcPr>
            <w:tcW w:w="199" w:type="pct"/>
            <w:tcBorders>
              <w:top w:val="single" w:color="auto" w:sz="4" w:space="0"/>
              <w:left w:val="single" w:color="auto" w:sz="4" w:space="0"/>
              <w:bottom w:val="single" w:color="auto" w:sz="4" w:space="0"/>
              <w:right w:val="single" w:color="auto" w:sz="4" w:space="0"/>
            </w:tcBorders>
            <w:vAlign w:val="center"/>
          </w:tcPr>
          <w:p w14:paraId="3ABF5874">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10</w:t>
            </w:r>
          </w:p>
        </w:tc>
        <w:tc>
          <w:tcPr>
            <w:tcW w:w="516" w:type="pct"/>
            <w:tcBorders>
              <w:top w:val="single" w:color="auto" w:sz="4" w:space="0"/>
              <w:left w:val="single" w:color="auto" w:sz="4" w:space="0"/>
              <w:bottom w:val="single" w:color="auto" w:sz="4" w:space="0"/>
              <w:right w:val="single" w:color="auto" w:sz="4" w:space="0"/>
            </w:tcBorders>
            <w:vAlign w:val="center"/>
          </w:tcPr>
          <w:p w14:paraId="09182AF0">
            <w:pPr>
              <w:spacing w:line="280" w:lineRule="exact"/>
              <w:jc w:val="center"/>
              <w:rPr>
                <w:rFonts w:ascii="仿宋" w:hAnsi="仿宋" w:eastAsia="仿宋"/>
                <w:szCs w:val="21"/>
              </w:rPr>
            </w:pPr>
            <w:r>
              <w:rPr>
                <w:rFonts w:hint="eastAsia" w:ascii="仿宋" w:hAnsi="仿宋" w:eastAsia="仿宋"/>
                <w:szCs w:val="21"/>
              </w:rPr>
              <w:t>笏石工业园三期启动区026号地块-地块二瑞荣汽车4S店</w:t>
            </w:r>
          </w:p>
        </w:tc>
        <w:tc>
          <w:tcPr>
            <w:tcW w:w="505" w:type="pct"/>
            <w:tcBorders>
              <w:top w:val="single" w:color="auto" w:sz="4" w:space="0"/>
              <w:left w:val="single" w:color="auto" w:sz="4" w:space="0"/>
              <w:bottom w:val="single" w:color="auto" w:sz="4" w:space="0"/>
              <w:right w:val="single" w:color="auto" w:sz="4" w:space="0"/>
            </w:tcBorders>
            <w:vAlign w:val="center"/>
          </w:tcPr>
          <w:p w14:paraId="21368ECA">
            <w:pPr>
              <w:spacing w:line="280" w:lineRule="exact"/>
              <w:jc w:val="center"/>
              <w:rPr>
                <w:rFonts w:ascii="仿宋" w:hAnsi="仿宋" w:eastAsia="仿宋"/>
                <w:szCs w:val="21"/>
              </w:rPr>
            </w:pPr>
            <w:r>
              <w:rPr>
                <w:rFonts w:hint="eastAsia" w:ascii="仿宋" w:hAnsi="仿宋" w:eastAsia="仿宋"/>
                <w:szCs w:val="21"/>
              </w:rPr>
              <w:t>福建韬涛工程管理有限公司</w:t>
            </w:r>
          </w:p>
        </w:tc>
        <w:tc>
          <w:tcPr>
            <w:tcW w:w="555" w:type="pct"/>
            <w:tcBorders>
              <w:top w:val="single" w:color="auto" w:sz="4" w:space="0"/>
              <w:left w:val="single" w:color="auto" w:sz="4" w:space="0"/>
              <w:bottom w:val="single" w:color="auto" w:sz="4" w:space="0"/>
              <w:right w:val="single" w:color="auto" w:sz="4" w:space="0"/>
            </w:tcBorders>
            <w:vAlign w:val="center"/>
          </w:tcPr>
          <w:p w14:paraId="7C6EA8C5">
            <w:pPr>
              <w:widowControl/>
              <w:spacing w:line="280" w:lineRule="exact"/>
              <w:jc w:val="left"/>
              <w:rPr>
                <w:rFonts w:ascii="仿宋" w:hAnsi="仿宋" w:eastAsia="仿宋"/>
                <w:szCs w:val="21"/>
              </w:rPr>
            </w:pPr>
            <w:r>
              <w:rPr>
                <w:rFonts w:hint="eastAsia" w:ascii="仿宋" w:hAnsi="仿宋" w:eastAsia="仿宋" w:cs="宋体"/>
                <w:kern w:val="0"/>
                <w:szCs w:val="21"/>
              </w:rPr>
              <w:t>结构封顶, 暂停施工阶段</w:t>
            </w:r>
          </w:p>
        </w:tc>
        <w:tc>
          <w:tcPr>
            <w:tcW w:w="3225" w:type="pct"/>
            <w:tcBorders>
              <w:top w:val="single" w:color="auto" w:sz="4" w:space="0"/>
              <w:left w:val="single" w:color="auto" w:sz="4" w:space="0"/>
              <w:bottom w:val="single" w:color="auto" w:sz="4" w:space="0"/>
              <w:right w:val="single" w:color="auto" w:sz="4" w:space="0"/>
            </w:tcBorders>
            <w:vAlign w:val="center"/>
          </w:tcPr>
          <w:p w14:paraId="6BE8D1FB">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缺监理职责上墙牌。内业资料未及时组卷归档，项目部未留机电安装专业内业资料，监理日志总监未审阅。</w:t>
            </w:r>
          </w:p>
          <w:p w14:paraId="7A40CA1C">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临时用电无验收手续。无塔吊定期检查举牌拍照的相关资料。监理未发现一层柱脚缩进、柱有效截面减少。三层消防管道吊架焊缝未涂防锈漆，且未满焊。电梯机房楼面板模板支架搭设存在“台上台”。地下室人防门栏混凝土没有与墙柱混凝土同时浇捣，人防主出入口防倒塌棚架基础未及时使用混凝土保护。地下室外墙混凝土私下修补。靠塔吊一侧的小屋面私下搭设落地平台吊运高空作业平台车，落地钢管架平台无方案和临边防护。施工电梯卸料平台外侧未封闭，施工电梯卸料平台使用顶托插在大横杆中接长铺设平台，平台杆件受力混乱。楼梯临边无防护。外架北侧存在两根立杆无落地，外架顶上三部大面积缺少连墙件。电梯井临边无栏杆防护。地下室使用BV电线，地下室集水坑临边无防护，地下室顶板落地架基础积水。监理部对外脚手架、支撑架、临边防护等安全隐患未要求施工单位整改。</w:t>
            </w:r>
          </w:p>
        </w:tc>
      </w:tr>
      <w:tr w14:paraId="5C93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6" w:hRule="atLeast"/>
        </w:trPr>
        <w:tc>
          <w:tcPr>
            <w:tcW w:w="199" w:type="pct"/>
            <w:tcBorders>
              <w:top w:val="single" w:color="auto" w:sz="4" w:space="0"/>
              <w:left w:val="single" w:color="auto" w:sz="4" w:space="0"/>
              <w:bottom w:val="single" w:color="auto" w:sz="4" w:space="0"/>
              <w:right w:val="single" w:color="auto" w:sz="4" w:space="0"/>
            </w:tcBorders>
            <w:vAlign w:val="center"/>
          </w:tcPr>
          <w:p w14:paraId="45839FDA">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11</w:t>
            </w:r>
          </w:p>
        </w:tc>
        <w:tc>
          <w:tcPr>
            <w:tcW w:w="516" w:type="pct"/>
            <w:tcBorders>
              <w:top w:val="single" w:color="auto" w:sz="4" w:space="0"/>
              <w:left w:val="single" w:color="auto" w:sz="4" w:space="0"/>
              <w:bottom w:val="single" w:color="auto" w:sz="4" w:space="0"/>
              <w:right w:val="single" w:color="auto" w:sz="4" w:space="0"/>
            </w:tcBorders>
            <w:vAlign w:val="center"/>
          </w:tcPr>
          <w:p w14:paraId="58FA317D">
            <w:pPr>
              <w:spacing w:line="280" w:lineRule="exact"/>
              <w:jc w:val="center"/>
              <w:rPr>
                <w:rFonts w:ascii="仿宋" w:hAnsi="仿宋" w:eastAsia="仿宋"/>
                <w:szCs w:val="21"/>
              </w:rPr>
            </w:pPr>
            <w:r>
              <w:rPr>
                <w:rFonts w:hint="eastAsia" w:ascii="仿宋" w:hAnsi="仿宋" w:eastAsia="仿宋"/>
                <w:szCs w:val="21"/>
              </w:rPr>
              <w:t>仙游县鲤南西华学府</w:t>
            </w:r>
          </w:p>
        </w:tc>
        <w:tc>
          <w:tcPr>
            <w:tcW w:w="505" w:type="pct"/>
            <w:tcBorders>
              <w:top w:val="single" w:color="auto" w:sz="4" w:space="0"/>
              <w:left w:val="single" w:color="auto" w:sz="4" w:space="0"/>
              <w:bottom w:val="single" w:color="auto" w:sz="4" w:space="0"/>
              <w:right w:val="single" w:color="auto" w:sz="4" w:space="0"/>
            </w:tcBorders>
            <w:vAlign w:val="center"/>
          </w:tcPr>
          <w:p w14:paraId="550C6569">
            <w:pPr>
              <w:spacing w:line="280" w:lineRule="exact"/>
              <w:jc w:val="center"/>
              <w:rPr>
                <w:rFonts w:ascii="仿宋" w:hAnsi="仿宋" w:eastAsia="仿宋"/>
                <w:szCs w:val="21"/>
              </w:rPr>
            </w:pPr>
            <w:r>
              <w:rPr>
                <w:rFonts w:hint="eastAsia" w:ascii="仿宋" w:hAnsi="仿宋" w:eastAsia="仿宋"/>
                <w:szCs w:val="21"/>
              </w:rPr>
              <w:t>筑力（福建）建设发展有限公司</w:t>
            </w:r>
          </w:p>
        </w:tc>
        <w:tc>
          <w:tcPr>
            <w:tcW w:w="555" w:type="pct"/>
            <w:tcBorders>
              <w:top w:val="single" w:color="auto" w:sz="4" w:space="0"/>
              <w:left w:val="single" w:color="auto" w:sz="4" w:space="0"/>
              <w:bottom w:val="single" w:color="auto" w:sz="4" w:space="0"/>
              <w:right w:val="single" w:color="auto" w:sz="4" w:space="0"/>
            </w:tcBorders>
            <w:vAlign w:val="center"/>
          </w:tcPr>
          <w:p w14:paraId="1E7D2C54">
            <w:pPr>
              <w:widowControl/>
              <w:spacing w:line="280" w:lineRule="exact"/>
              <w:jc w:val="left"/>
              <w:rPr>
                <w:rFonts w:ascii="仿宋" w:hAnsi="仿宋" w:eastAsia="仿宋"/>
                <w:szCs w:val="21"/>
              </w:rPr>
            </w:pPr>
            <w:r>
              <w:rPr>
                <w:rFonts w:hint="eastAsia" w:ascii="仿宋" w:hAnsi="仿宋" w:eastAsia="仿宋" w:cs="宋体"/>
                <w:kern w:val="0"/>
                <w:szCs w:val="21"/>
              </w:rPr>
              <w:t>结构主体阶段</w:t>
            </w:r>
          </w:p>
        </w:tc>
        <w:tc>
          <w:tcPr>
            <w:tcW w:w="3225" w:type="pct"/>
            <w:tcBorders>
              <w:top w:val="single" w:color="auto" w:sz="4" w:space="0"/>
              <w:left w:val="single" w:color="auto" w:sz="4" w:space="0"/>
              <w:bottom w:val="single" w:color="auto" w:sz="4" w:space="0"/>
              <w:right w:val="single" w:color="auto" w:sz="4" w:space="0"/>
            </w:tcBorders>
            <w:vAlign w:val="center"/>
          </w:tcPr>
          <w:p w14:paraId="7A9CF33B">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内业资料无及时组卷归档，材料报验单无汇总数量，无监理抽检记录，PVC管材无材料报验单。</w:t>
            </w:r>
          </w:p>
          <w:p w14:paraId="017F036D">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外架与建筑物间距超规范、部分连墙件缺失。楼层存在洞口、临边防护措施不到位等安全问题未要求施工单位整改。3#楼卸料平台外架开口处未设置之字形斜杆，平台侧面无硬质防护；3#楼塔吊连墙件固定螺栓被水泥杂物包裹，3#楼14层消防立管穿楼板处未设置套管。8#楼25层梁柱核心箍少2道，8#楼24层外剪力墙使用套管对拉螺栓，8#楼24层剪力墙模板主檩使用已经腐烂方钢，8#楼24层楼梯施工缝设在楼面，8#楼25层模支立杆离梁超过250mm，8#楼25板施工外架没有搭设超过一步，8#楼24层外架上堆放木工材料，8#楼塔吊在地下室基础承台积水，8#楼外架基础积水。5#楼19层窗台悬挑板砼外观开裂等质量问题未要求责任单位整改，5#楼24层柱模提早拆模、支撑架自由端长度超规范等行为未能及时制止。配电房内杂物较多，配电箱无日常巡视记录。</w:t>
            </w:r>
          </w:p>
        </w:tc>
      </w:tr>
      <w:tr w14:paraId="6121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2" w:hRule="atLeast"/>
        </w:trPr>
        <w:tc>
          <w:tcPr>
            <w:tcW w:w="199" w:type="pct"/>
            <w:tcBorders>
              <w:top w:val="single" w:color="auto" w:sz="4" w:space="0"/>
              <w:left w:val="single" w:color="auto" w:sz="4" w:space="0"/>
              <w:bottom w:val="single" w:color="auto" w:sz="4" w:space="0"/>
              <w:right w:val="single" w:color="auto" w:sz="4" w:space="0"/>
            </w:tcBorders>
            <w:vAlign w:val="center"/>
          </w:tcPr>
          <w:p w14:paraId="121FE7F4">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12</w:t>
            </w:r>
          </w:p>
        </w:tc>
        <w:tc>
          <w:tcPr>
            <w:tcW w:w="516" w:type="pct"/>
            <w:tcBorders>
              <w:top w:val="single" w:color="auto" w:sz="4" w:space="0"/>
              <w:left w:val="single" w:color="auto" w:sz="4" w:space="0"/>
              <w:bottom w:val="single" w:color="auto" w:sz="4" w:space="0"/>
              <w:right w:val="single" w:color="auto" w:sz="4" w:space="0"/>
            </w:tcBorders>
            <w:vAlign w:val="center"/>
          </w:tcPr>
          <w:p w14:paraId="368122BF">
            <w:pPr>
              <w:spacing w:line="280" w:lineRule="exact"/>
              <w:jc w:val="center"/>
              <w:rPr>
                <w:rFonts w:ascii="仿宋" w:hAnsi="仿宋" w:eastAsia="仿宋"/>
                <w:szCs w:val="21"/>
              </w:rPr>
            </w:pPr>
            <w:r>
              <w:rPr>
                <w:rFonts w:hint="eastAsia" w:ascii="仿宋" w:hAnsi="仿宋" w:eastAsia="仿宋"/>
                <w:szCs w:val="21"/>
              </w:rPr>
              <w:t>仙游县木兰国际学校（二区）</w:t>
            </w:r>
          </w:p>
        </w:tc>
        <w:tc>
          <w:tcPr>
            <w:tcW w:w="505" w:type="pct"/>
            <w:tcBorders>
              <w:top w:val="single" w:color="auto" w:sz="4" w:space="0"/>
              <w:left w:val="single" w:color="auto" w:sz="4" w:space="0"/>
              <w:bottom w:val="single" w:color="auto" w:sz="4" w:space="0"/>
              <w:right w:val="single" w:color="auto" w:sz="4" w:space="0"/>
            </w:tcBorders>
            <w:vAlign w:val="center"/>
          </w:tcPr>
          <w:p w14:paraId="1CF89B75">
            <w:pPr>
              <w:spacing w:line="280" w:lineRule="exact"/>
              <w:jc w:val="center"/>
              <w:rPr>
                <w:rFonts w:ascii="仿宋" w:hAnsi="仿宋" w:eastAsia="仿宋"/>
                <w:szCs w:val="21"/>
              </w:rPr>
            </w:pPr>
            <w:r>
              <w:rPr>
                <w:rFonts w:hint="eastAsia" w:ascii="仿宋" w:hAnsi="仿宋" w:eastAsia="仿宋"/>
                <w:szCs w:val="21"/>
              </w:rPr>
              <w:t>中兴华骏建设有限公司</w:t>
            </w:r>
          </w:p>
        </w:tc>
        <w:tc>
          <w:tcPr>
            <w:tcW w:w="555" w:type="pct"/>
            <w:tcBorders>
              <w:top w:val="single" w:color="auto" w:sz="4" w:space="0"/>
              <w:left w:val="single" w:color="auto" w:sz="4" w:space="0"/>
              <w:bottom w:val="single" w:color="auto" w:sz="4" w:space="0"/>
              <w:right w:val="single" w:color="auto" w:sz="4" w:space="0"/>
            </w:tcBorders>
            <w:vAlign w:val="center"/>
          </w:tcPr>
          <w:p w14:paraId="4CA1BDB4">
            <w:pPr>
              <w:widowControl/>
              <w:spacing w:line="280" w:lineRule="exact"/>
              <w:jc w:val="left"/>
              <w:rPr>
                <w:rFonts w:ascii="仿宋" w:hAnsi="仿宋" w:eastAsia="仿宋"/>
                <w:szCs w:val="21"/>
              </w:rPr>
            </w:pPr>
            <w:r>
              <w:rPr>
                <w:rFonts w:hint="eastAsia" w:ascii="仿宋" w:hAnsi="仿宋" w:eastAsia="仿宋" w:cs="宋体"/>
                <w:kern w:val="0"/>
                <w:szCs w:val="21"/>
              </w:rPr>
              <w:t>装饰装修阶段</w:t>
            </w:r>
          </w:p>
        </w:tc>
        <w:tc>
          <w:tcPr>
            <w:tcW w:w="3225" w:type="pct"/>
            <w:tcBorders>
              <w:top w:val="single" w:color="auto" w:sz="4" w:space="0"/>
              <w:left w:val="single" w:color="auto" w:sz="4" w:space="0"/>
              <w:bottom w:val="single" w:color="auto" w:sz="4" w:space="0"/>
              <w:right w:val="single" w:color="auto" w:sz="4" w:space="0"/>
            </w:tcBorders>
            <w:vAlign w:val="center"/>
          </w:tcPr>
          <w:p w14:paraId="640B1A5C">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王林等4人监理岗位证为广东省，岗位证书均未能体现注册单位中兴华骏建设有限公司。监理单位未按规定进行巡查或季度检查，内业资料未及时组卷归档，项目部无留存水电专业内业资料，“深基坑、高大模板”等危大工程实施细则无针对性，“吊篮安拆”监理实施细则无编制人、总监未审批，监理日志没有记录人签字和总监审阅，危大工程监理无巡视检查记录。</w:t>
            </w:r>
          </w:p>
          <w:p w14:paraId="3D6730F0">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监理旁站记录不全面不真实。室外路缘石没有垫背混凝土。教学楼与室外架空田径场的连廊存在高差50mm以上（完成面）。教学楼之间的连廊地面水磨石铜条采取后割缝填埋，存在色差和铜条脱离隐患。钢连廊一层消防水平主管转弯处未设置防晃支架，钢连廊一层排水立管未设置检修口。室外消防管网无强度检测试验记录，现场已隐蔽。15#楼3层食堂及公区卫生间水池下水管道无存水弯，食堂水槽等金属部件未与等电位箱连接，15#楼电井内无接地干线扁钢，15#楼3层食堂后厨区竖向桥架内电缆无固定措施，影响后期封板。15#楼4层的篮球馆钢网架检修爬梯使用膨胀螺丝电焊固定，与设计预埋不符，15#楼4层篮球场消火栓口离地高度不足1米，室内篮球馆钢网架已经安装完成消防管网和灯具而网架的防火涂料未施工。15#楼3层食堂后厨区喷淋头多处未居中，观感质量较差。屋面防雷未闭合，楼梯间高窗未能正常开关等质量未要求责任单位整改。未建立危大工程安全管理档案。电梯井道口没有防护；15#楼二层食堂配电箱没有箱盖、没有电工巡检、使用花线、直接在空气开关上没有通过漏保。室外施工使用插排供电，地下室内墙施工脚手架没有连墙件和抛撑加固、已经变形，地下室内墙施工脚手架没有连墙件和抛撑加固，工人没有戴安全帽。室外施工使用的配电箱外框切割开口处无防护措施。临电、高空作业等安全隐患未要求施工单位整改。两期监理例会的监理内容一致。</w:t>
            </w:r>
          </w:p>
        </w:tc>
      </w:tr>
      <w:tr w14:paraId="0EA2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2" w:hRule="atLeast"/>
        </w:trPr>
        <w:tc>
          <w:tcPr>
            <w:tcW w:w="199" w:type="pct"/>
            <w:vAlign w:val="center"/>
          </w:tcPr>
          <w:p w14:paraId="7DC5DE5C">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13</w:t>
            </w:r>
          </w:p>
        </w:tc>
        <w:tc>
          <w:tcPr>
            <w:tcW w:w="516" w:type="pct"/>
            <w:vAlign w:val="center"/>
          </w:tcPr>
          <w:p w14:paraId="07F25493">
            <w:pPr>
              <w:spacing w:line="280" w:lineRule="exact"/>
              <w:jc w:val="center"/>
              <w:rPr>
                <w:rFonts w:ascii="仿宋" w:hAnsi="仿宋" w:eastAsia="仿宋"/>
                <w:szCs w:val="21"/>
              </w:rPr>
            </w:pPr>
            <w:r>
              <w:rPr>
                <w:rFonts w:hint="eastAsia" w:ascii="仿宋" w:hAnsi="仿宋" w:eastAsia="仿宋"/>
                <w:szCs w:val="21"/>
              </w:rPr>
              <w:t>五峰村住宅小区配套用房</w:t>
            </w:r>
          </w:p>
        </w:tc>
        <w:tc>
          <w:tcPr>
            <w:tcW w:w="505" w:type="pct"/>
            <w:vAlign w:val="center"/>
          </w:tcPr>
          <w:p w14:paraId="3A953209">
            <w:pPr>
              <w:spacing w:line="280" w:lineRule="exact"/>
              <w:jc w:val="center"/>
              <w:rPr>
                <w:rFonts w:ascii="仿宋" w:hAnsi="仿宋" w:eastAsia="仿宋"/>
                <w:szCs w:val="21"/>
              </w:rPr>
            </w:pPr>
            <w:r>
              <w:rPr>
                <w:rFonts w:hint="eastAsia" w:ascii="仿宋" w:hAnsi="仿宋" w:eastAsia="仿宋"/>
                <w:szCs w:val="21"/>
              </w:rPr>
              <w:t>厦门建兴工程管理有限公司</w:t>
            </w:r>
          </w:p>
        </w:tc>
        <w:tc>
          <w:tcPr>
            <w:tcW w:w="555" w:type="pct"/>
            <w:vAlign w:val="center"/>
          </w:tcPr>
          <w:p w14:paraId="02DCABE3">
            <w:pPr>
              <w:widowControl/>
              <w:spacing w:line="280" w:lineRule="exact"/>
              <w:jc w:val="left"/>
              <w:rPr>
                <w:rFonts w:ascii="仿宋" w:hAnsi="仿宋" w:eastAsia="仿宋"/>
                <w:szCs w:val="21"/>
              </w:rPr>
            </w:pPr>
            <w:r>
              <w:rPr>
                <w:rFonts w:hint="eastAsia" w:ascii="仿宋" w:hAnsi="仿宋" w:eastAsia="仿宋"/>
                <w:szCs w:val="21"/>
              </w:rPr>
              <w:t>装饰装修阶段</w:t>
            </w:r>
          </w:p>
        </w:tc>
        <w:tc>
          <w:tcPr>
            <w:tcW w:w="3225" w:type="pct"/>
            <w:vAlign w:val="center"/>
          </w:tcPr>
          <w:p w14:paraId="76419DFC">
            <w:pPr>
              <w:spacing w:line="280" w:lineRule="exact"/>
              <w:rPr>
                <w:rFonts w:ascii="仿宋" w:hAnsi="仿宋" w:eastAsia="仿宋"/>
                <w:szCs w:val="21"/>
              </w:rPr>
            </w:pPr>
            <w:r>
              <w:rPr>
                <w:rFonts w:hint="eastAsia" w:ascii="仿宋" w:hAnsi="仿宋" w:eastAsia="仿宋" w:cs="宋体"/>
                <w:b/>
                <w:kern w:val="0"/>
                <w:szCs w:val="21"/>
              </w:rPr>
              <w:t>1.项目监理机构及内业资料情况：</w:t>
            </w:r>
            <w:r>
              <w:rPr>
                <w:rFonts w:hint="eastAsia" w:ascii="仿宋" w:hAnsi="仿宋" w:eastAsia="仿宋"/>
                <w:szCs w:val="21"/>
              </w:rPr>
              <w:t>未到位人员未登录“项目监管系统”请假登记留痕。</w:t>
            </w:r>
            <w:r>
              <w:rPr>
                <w:rFonts w:hint="eastAsia" w:ascii="仿宋" w:hAnsi="仿宋" w:eastAsia="仿宋" w:cs="宋体"/>
                <w:kern w:val="0"/>
                <w:szCs w:val="21"/>
              </w:rPr>
              <w:t>无挂设项目监理部铭牌。项目监理部无公司制定质量、安全监理管理制度。</w:t>
            </w:r>
            <w:r>
              <w:rPr>
                <w:rFonts w:hint="eastAsia" w:ascii="仿宋" w:hAnsi="仿宋" w:eastAsia="仿宋"/>
                <w:szCs w:val="21"/>
              </w:rPr>
              <w:t>监理实施细则总监未审批；监理企业技术负责人未对监理规划审核，总监未签章；总监定期质量安全监理巡视记录到2023年11月3日；总监巡视记录未填写日期；监理日志记录不全面，2025年7月10日安装施工升降机，监理日志未体现；工程开工令未加盖执业章；对超过一定规模危险性较大的分部分项工程安全专项施工方案无法体现（论证前）（论证后）；未按监理规范要求审查安全生产许可证（过期）；监理规划内无进驻工地监理人员构成名单附表；</w:t>
            </w:r>
          </w:p>
          <w:p w14:paraId="2D0792EF">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bookmarkStart w:id="0" w:name="OLE_LINK17"/>
            <w:bookmarkStart w:id="1" w:name="OLE_LINK18"/>
            <w:r>
              <w:rPr>
                <w:rFonts w:hint="eastAsia" w:ascii="仿宋" w:hAnsi="仿宋" w:eastAsia="仿宋"/>
                <w:szCs w:val="21"/>
              </w:rPr>
              <w:t>现场同条件试块未送检</w:t>
            </w:r>
            <w:bookmarkEnd w:id="0"/>
            <w:bookmarkEnd w:id="1"/>
            <w:r>
              <w:rPr>
                <w:rFonts w:hint="eastAsia" w:ascii="仿宋" w:hAnsi="仿宋" w:eastAsia="仿宋"/>
                <w:szCs w:val="21"/>
              </w:rPr>
              <w:t>；</w:t>
            </w:r>
            <w:bookmarkStart w:id="2" w:name="OLE_LINK19"/>
            <w:r>
              <w:rPr>
                <w:rFonts w:hint="eastAsia" w:ascii="仿宋" w:hAnsi="仿宋" w:eastAsia="仿宋"/>
                <w:szCs w:val="21"/>
              </w:rPr>
              <w:t>构造柱钢筋偏位严重</w:t>
            </w:r>
            <w:bookmarkEnd w:id="2"/>
            <w:r>
              <w:rPr>
                <w:rFonts w:hint="eastAsia" w:ascii="仿宋" w:hAnsi="仿宋" w:eastAsia="仿宋"/>
                <w:szCs w:val="21"/>
              </w:rPr>
              <w:t>；</w:t>
            </w:r>
            <w:bookmarkStart w:id="3" w:name="OLE_LINK20"/>
            <w:r>
              <w:rPr>
                <w:rFonts w:hint="eastAsia" w:ascii="仿宋" w:hAnsi="仿宋" w:eastAsia="仿宋"/>
                <w:szCs w:val="21"/>
              </w:rPr>
              <w:t>砖墙第一皮未砌密实</w:t>
            </w:r>
            <w:bookmarkEnd w:id="3"/>
            <w:r>
              <w:rPr>
                <w:rFonts w:hint="eastAsia" w:ascii="仿宋" w:hAnsi="仿宋" w:eastAsia="仿宋"/>
                <w:szCs w:val="21"/>
              </w:rPr>
              <w:t>；</w:t>
            </w:r>
            <w:bookmarkStart w:id="4" w:name="OLE_LINK21"/>
            <w:bookmarkStart w:id="5" w:name="OLE_LINK22"/>
            <w:r>
              <w:rPr>
                <w:rFonts w:hint="eastAsia" w:ascii="仿宋" w:hAnsi="仿宋" w:eastAsia="仿宋"/>
                <w:szCs w:val="21"/>
              </w:rPr>
              <w:t>构造柱钢筋搭接长度不足50d</w:t>
            </w:r>
            <w:bookmarkEnd w:id="4"/>
            <w:bookmarkEnd w:id="5"/>
            <w:r>
              <w:rPr>
                <w:rFonts w:hint="eastAsia" w:ascii="仿宋" w:hAnsi="仿宋" w:eastAsia="仿宋"/>
                <w:szCs w:val="21"/>
              </w:rPr>
              <w:t>；</w:t>
            </w:r>
            <w:bookmarkStart w:id="6" w:name="OLE_LINK24"/>
            <w:bookmarkStart w:id="7" w:name="OLE_LINK23"/>
            <w:r>
              <w:rPr>
                <w:rFonts w:hint="eastAsia" w:ascii="仿宋" w:hAnsi="仿宋" w:eastAsia="仿宋"/>
                <w:szCs w:val="21"/>
              </w:rPr>
              <w:t>窗台压顶入墙11cm，设计20cm</w:t>
            </w:r>
            <w:bookmarkEnd w:id="6"/>
            <w:bookmarkEnd w:id="7"/>
            <w:r>
              <w:rPr>
                <w:rFonts w:hint="eastAsia" w:ascii="仿宋" w:hAnsi="仿宋" w:eastAsia="仿宋"/>
                <w:szCs w:val="21"/>
              </w:rPr>
              <w:t>；</w:t>
            </w:r>
            <w:bookmarkStart w:id="8" w:name="OLE_LINK26"/>
            <w:bookmarkStart w:id="9" w:name="OLE_LINK25"/>
            <w:r>
              <w:rPr>
                <w:rFonts w:hint="eastAsia" w:ascii="仿宋" w:hAnsi="仿宋" w:eastAsia="仿宋"/>
                <w:szCs w:val="21"/>
              </w:rPr>
              <w:t>一层砼柱错位达20mm以上</w:t>
            </w:r>
            <w:bookmarkEnd w:id="8"/>
            <w:bookmarkEnd w:id="9"/>
            <w:r>
              <w:rPr>
                <w:rFonts w:hint="eastAsia" w:ascii="仿宋" w:hAnsi="仿宋" w:eastAsia="仿宋"/>
                <w:szCs w:val="21"/>
              </w:rPr>
              <w:t>；</w:t>
            </w:r>
            <w:bookmarkStart w:id="10" w:name="OLE_LINK27"/>
            <w:r>
              <w:rPr>
                <w:rFonts w:hint="eastAsia" w:ascii="仿宋" w:hAnsi="仿宋" w:eastAsia="仿宋"/>
                <w:szCs w:val="21"/>
              </w:rPr>
              <w:t>现场使用不合格梯子</w:t>
            </w:r>
            <w:bookmarkEnd w:id="10"/>
            <w:r>
              <w:rPr>
                <w:rFonts w:hint="eastAsia" w:ascii="仿宋" w:hAnsi="仿宋" w:eastAsia="仿宋"/>
                <w:szCs w:val="21"/>
              </w:rPr>
              <w:t>；</w:t>
            </w:r>
            <w:bookmarkStart w:id="11" w:name="OLE_LINK28"/>
            <w:r>
              <w:rPr>
                <w:rFonts w:hint="eastAsia" w:ascii="仿宋" w:hAnsi="仿宋" w:eastAsia="仿宋"/>
                <w:szCs w:val="21"/>
              </w:rPr>
              <w:t>工人未正确佩戴安全帽</w:t>
            </w:r>
            <w:bookmarkEnd w:id="11"/>
            <w:r>
              <w:rPr>
                <w:rFonts w:hint="eastAsia" w:ascii="仿宋" w:hAnsi="仿宋" w:eastAsia="仿宋"/>
                <w:szCs w:val="21"/>
              </w:rPr>
              <w:t>；</w:t>
            </w:r>
            <w:bookmarkStart w:id="12" w:name="OLE_LINK30"/>
            <w:r>
              <w:rPr>
                <w:rFonts w:hint="eastAsia" w:ascii="仿宋" w:hAnsi="仿宋" w:eastAsia="仿宋"/>
                <w:szCs w:val="21"/>
              </w:rPr>
              <w:t>脚手架与结构外表面之间贯通、连墙件不足</w:t>
            </w:r>
            <w:bookmarkEnd w:id="12"/>
            <w:r>
              <w:rPr>
                <w:rFonts w:hint="eastAsia" w:ascii="仿宋" w:hAnsi="仿宋" w:eastAsia="仿宋"/>
                <w:szCs w:val="21"/>
              </w:rPr>
              <w:t>；</w:t>
            </w:r>
            <w:bookmarkStart w:id="13" w:name="OLE_LINK16"/>
            <w:bookmarkStart w:id="14" w:name="OLE_LINK15"/>
            <w:bookmarkStart w:id="15" w:name="OLE_LINK32"/>
            <w:r>
              <w:rPr>
                <w:rFonts w:hint="eastAsia" w:ascii="仿宋" w:hAnsi="仿宋" w:eastAsia="仿宋"/>
                <w:szCs w:val="21"/>
              </w:rPr>
              <w:t>电梯井道未按要求设置牢固水平防护</w:t>
            </w:r>
            <w:bookmarkEnd w:id="13"/>
            <w:bookmarkEnd w:id="14"/>
            <w:bookmarkEnd w:id="15"/>
            <w:r>
              <w:rPr>
                <w:rFonts w:hint="eastAsia" w:ascii="仿宋" w:hAnsi="仿宋" w:eastAsia="仿宋"/>
                <w:szCs w:val="21"/>
              </w:rPr>
              <w:t>；</w:t>
            </w:r>
            <w:bookmarkStart w:id="16" w:name="OLE_LINK31"/>
            <w:r>
              <w:rPr>
                <w:rFonts w:hint="eastAsia" w:ascii="仿宋" w:hAnsi="仿宋" w:eastAsia="仿宋"/>
                <w:szCs w:val="21"/>
              </w:rPr>
              <w:t>电梯井道未按要求设置竖向防护</w:t>
            </w:r>
            <w:bookmarkEnd w:id="16"/>
            <w:r>
              <w:rPr>
                <w:rFonts w:hint="eastAsia" w:ascii="仿宋" w:hAnsi="仿宋" w:eastAsia="仿宋"/>
                <w:szCs w:val="21"/>
              </w:rPr>
              <w:t>；</w:t>
            </w:r>
            <w:bookmarkStart w:id="17" w:name="OLE_LINK33"/>
            <w:r>
              <w:rPr>
                <w:rFonts w:hint="eastAsia" w:ascii="仿宋" w:hAnsi="仿宋" w:eastAsia="仿宋"/>
                <w:szCs w:val="21"/>
              </w:rPr>
              <w:t>楼梯平台边与外架洞口未做防护</w:t>
            </w:r>
            <w:bookmarkEnd w:id="17"/>
            <w:r>
              <w:rPr>
                <w:rFonts w:hint="eastAsia" w:ascii="仿宋" w:hAnsi="仿宋" w:eastAsia="仿宋"/>
                <w:szCs w:val="21"/>
              </w:rPr>
              <w:t>；</w:t>
            </w:r>
            <w:bookmarkStart w:id="18" w:name="OLE_LINK35"/>
            <w:bookmarkStart w:id="19" w:name="OLE_LINK34"/>
            <w:r>
              <w:rPr>
                <w:rFonts w:hint="eastAsia" w:ascii="仿宋" w:hAnsi="仿宋" w:eastAsia="仿宋"/>
                <w:szCs w:val="21"/>
              </w:rPr>
              <w:t>配电箱直接放置外架上</w:t>
            </w:r>
            <w:bookmarkEnd w:id="18"/>
            <w:bookmarkEnd w:id="19"/>
            <w:r>
              <w:rPr>
                <w:rFonts w:hint="eastAsia" w:ascii="仿宋" w:hAnsi="仿宋" w:eastAsia="仿宋"/>
                <w:szCs w:val="21"/>
              </w:rPr>
              <w:t>；外架第一步未设置安全网、基础垃圾未清理；</w:t>
            </w:r>
            <w:bookmarkStart w:id="20" w:name="OLE_LINK29"/>
            <w:r>
              <w:rPr>
                <w:rFonts w:hint="eastAsia" w:ascii="仿宋" w:hAnsi="仿宋" w:eastAsia="仿宋"/>
                <w:szCs w:val="21"/>
              </w:rPr>
              <w:t>未设置洗车设备、扬尘喷淋</w:t>
            </w:r>
            <w:bookmarkEnd w:id="20"/>
            <w:r>
              <w:rPr>
                <w:rFonts w:hint="eastAsia" w:ascii="仿宋" w:hAnsi="仿宋" w:eastAsia="仿宋"/>
                <w:szCs w:val="21"/>
              </w:rPr>
              <w:t>。</w:t>
            </w:r>
          </w:p>
        </w:tc>
      </w:tr>
      <w:tr w14:paraId="1DF1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8" w:hRule="atLeast"/>
        </w:trPr>
        <w:tc>
          <w:tcPr>
            <w:tcW w:w="199" w:type="pct"/>
            <w:vAlign w:val="center"/>
          </w:tcPr>
          <w:p w14:paraId="08C4F822">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14</w:t>
            </w:r>
          </w:p>
        </w:tc>
        <w:tc>
          <w:tcPr>
            <w:tcW w:w="516" w:type="pct"/>
            <w:vAlign w:val="center"/>
          </w:tcPr>
          <w:p w14:paraId="5648974B">
            <w:pPr>
              <w:spacing w:line="280" w:lineRule="exact"/>
              <w:jc w:val="center"/>
              <w:rPr>
                <w:rFonts w:ascii="仿宋" w:hAnsi="仿宋" w:eastAsia="仿宋" w:cs="宋体"/>
                <w:szCs w:val="21"/>
              </w:rPr>
            </w:pPr>
            <w:r>
              <w:rPr>
                <w:rFonts w:hint="eastAsia" w:ascii="仿宋" w:hAnsi="仿宋" w:eastAsia="仿宋"/>
                <w:szCs w:val="21"/>
              </w:rPr>
              <w:t>2023JP05地块及配套工程</w:t>
            </w:r>
          </w:p>
        </w:tc>
        <w:tc>
          <w:tcPr>
            <w:tcW w:w="505" w:type="pct"/>
            <w:vAlign w:val="center"/>
          </w:tcPr>
          <w:p w14:paraId="48E18E21">
            <w:pPr>
              <w:spacing w:line="280" w:lineRule="exact"/>
              <w:jc w:val="center"/>
              <w:rPr>
                <w:rFonts w:ascii="仿宋" w:hAnsi="仿宋" w:eastAsia="仿宋" w:cs="宋体"/>
                <w:szCs w:val="21"/>
              </w:rPr>
            </w:pPr>
            <w:r>
              <w:rPr>
                <w:rFonts w:hint="eastAsia" w:ascii="仿宋" w:hAnsi="仿宋" w:eastAsia="仿宋"/>
                <w:szCs w:val="21"/>
              </w:rPr>
              <w:t>国机中兴工程咨询有限公司</w:t>
            </w:r>
          </w:p>
        </w:tc>
        <w:tc>
          <w:tcPr>
            <w:tcW w:w="555" w:type="pct"/>
            <w:vAlign w:val="center"/>
          </w:tcPr>
          <w:p w14:paraId="2F8BD389">
            <w:pPr>
              <w:widowControl/>
              <w:spacing w:line="280" w:lineRule="exact"/>
              <w:jc w:val="left"/>
              <w:rPr>
                <w:rFonts w:ascii="仿宋" w:hAnsi="仿宋" w:eastAsia="仿宋"/>
                <w:szCs w:val="21"/>
              </w:rPr>
            </w:pPr>
            <w:r>
              <w:rPr>
                <w:rFonts w:hint="eastAsia" w:ascii="仿宋" w:hAnsi="仿宋" w:eastAsia="仿宋" w:cs="宋体"/>
                <w:kern w:val="0"/>
                <w:szCs w:val="21"/>
              </w:rPr>
              <w:t>装饰装修阶段</w:t>
            </w:r>
          </w:p>
        </w:tc>
        <w:tc>
          <w:tcPr>
            <w:tcW w:w="3225" w:type="pct"/>
            <w:vAlign w:val="center"/>
          </w:tcPr>
          <w:p w14:paraId="16D277CE">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无挂设项目监理部铭牌。监理单位检查的责令整改单反映的问题无具体部位。公司巡视检查（记录编号：2025016）无领导带队检查照片。监理规划操作性不强，涵盖不全面（未列入危险性较大的分部分项工程，如爬架）。巡视记录未体现总监定期质量安全监理巡视记录，总监未签字；监理日志记录不及时；施工组织设计审查，总监未加盖执业印章；专项方案审查：附着式升降脚手架工程专项方案文件，总监未加盖执业章；附着式升降脚手架架子工（特种作业人员）未查到证件；</w:t>
            </w:r>
          </w:p>
          <w:p w14:paraId="41CE853D">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bookmarkStart w:id="21" w:name="OLE_LINK38"/>
            <w:bookmarkStart w:id="22" w:name="OLE_LINK39"/>
            <w:r>
              <w:rPr>
                <w:rFonts w:hint="eastAsia" w:ascii="仿宋" w:hAnsi="仿宋" w:eastAsia="仿宋" w:cs="宋体"/>
                <w:kern w:val="0"/>
                <w:szCs w:val="21"/>
              </w:rPr>
              <w:t>地下室存在渗漏水</w:t>
            </w:r>
            <w:bookmarkEnd w:id="21"/>
            <w:bookmarkEnd w:id="22"/>
            <w:r>
              <w:rPr>
                <w:rFonts w:hint="eastAsia" w:ascii="仿宋" w:hAnsi="仿宋" w:eastAsia="仿宋" w:cs="宋体"/>
                <w:kern w:val="0"/>
                <w:szCs w:val="21"/>
              </w:rPr>
              <w:t>；</w:t>
            </w:r>
            <w:bookmarkStart w:id="23" w:name="OLE_LINK40"/>
            <w:r>
              <w:rPr>
                <w:rFonts w:hint="eastAsia" w:ascii="仿宋" w:hAnsi="仿宋" w:eastAsia="仿宋" w:cs="宋体"/>
                <w:kern w:val="0"/>
                <w:szCs w:val="21"/>
              </w:rPr>
              <w:t>塔吊已拆除，危大公示牌未更新</w:t>
            </w:r>
            <w:bookmarkEnd w:id="23"/>
            <w:r>
              <w:rPr>
                <w:rFonts w:hint="eastAsia" w:ascii="仿宋" w:hAnsi="仿宋" w:eastAsia="仿宋" w:cs="宋体"/>
                <w:kern w:val="0"/>
                <w:szCs w:val="21"/>
              </w:rPr>
              <w:t>；</w:t>
            </w:r>
            <w:bookmarkStart w:id="24" w:name="OLE_LINK41"/>
            <w:bookmarkStart w:id="25" w:name="OLE_LINK42"/>
            <w:r>
              <w:rPr>
                <w:rFonts w:hint="eastAsia" w:ascii="仿宋" w:hAnsi="仿宋" w:eastAsia="仿宋" w:cs="宋体"/>
                <w:kern w:val="0"/>
                <w:szCs w:val="21"/>
              </w:rPr>
              <w:t>构件施工使用吊篮无操作证、安全绳无卡扣</w:t>
            </w:r>
            <w:bookmarkEnd w:id="24"/>
            <w:bookmarkEnd w:id="25"/>
            <w:r>
              <w:rPr>
                <w:rFonts w:hint="eastAsia" w:ascii="仿宋" w:hAnsi="仿宋" w:eastAsia="仿宋" w:cs="宋体"/>
                <w:kern w:val="0"/>
                <w:szCs w:val="21"/>
              </w:rPr>
              <w:t>；</w:t>
            </w:r>
            <w:bookmarkStart w:id="26" w:name="OLE_LINK44"/>
            <w:bookmarkStart w:id="27" w:name="OLE_LINK43"/>
            <w:r>
              <w:rPr>
                <w:rFonts w:hint="eastAsia" w:ascii="仿宋" w:hAnsi="仿宋" w:eastAsia="仿宋" w:cs="宋体"/>
                <w:kern w:val="0"/>
                <w:szCs w:val="21"/>
              </w:rPr>
              <w:t>吊篮支架设置不可靠</w:t>
            </w:r>
            <w:bookmarkEnd w:id="26"/>
            <w:bookmarkEnd w:id="27"/>
            <w:r>
              <w:rPr>
                <w:rFonts w:hint="eastAsia" w:ascii="仿宋" w:hAnsi="仿宋" w:eastAsia="仿宋" w:cs="宋体"/>
                <w:kern w:val="0"/>
                <w:szCs w:val="21"/>
              </w:rPr>
              <w:t>；</w:t>
            </w:r>
            <w:bookmarkStart w:id="28" w:name="OLE_LINK46"/>
            <w:bookmarkStart w:id="29" w:name="OLE_LINK45"/>
            <w:r>
              <w:rPr>
                <w:rFonts w:hint="eastAsia" w:ascii="仿宋" w:hAnsi="仿宋" w:eastAsia="仿宋" w:cs="宋体"/>
                <w:kern w:val="0"/>
                <w:szCs w:val="21"/>
              </w:rPr>
              <w:t>吊篮在通道口使用，未设置有效安全防护措施</w:t>
            </w:r>
            <w:bookmarkEnd w:id="28"/>
            <w:bookmarkEnd w:id="29"/>
            <w:r>
              <w:rPr>
                <w:rFonts w:hint="eastAsia" w:ascii="仿宋" w:hAnsi="仿宋" w:eastAsia="仿宋" w:cs="宋体"/>
                <w:kern w:val="0"/>
                <w:szCs w:val="21"/>
              </w:rPr>
              <w:t>；</w:t>
            </w:r>
            <w:bookmarkStart w:id="30" w:name="OLE_LINK48"/>
            <w:bookmarkStart w:id="31" w:name="OLE_LINK47"/>
            <w:r>
              <w:rPr>
                <w:rFonts w:hint="eastAsia" w:ascii="仿宋" w:hAnsi="仿宋" w:eastAsia="仿宋" w:cs="宋体"/>
                <w:kern w:val="0"/>
                <w:szCs w:val="21"/>
              </w:rPr>
              <w:t>电梯井口竖向防护未固定牢固</w:t>
            </w:r>
            <w:bookmarkEnd w:id="30"/>
            <w:bookmarkEnd w:id="31"/>
            <w:r>
              <w:rPr>
                <w:rFonts w:hint="eastAsia" w:ascii="仿宋" w:hAnsi="仿宋" w:eastAsia="仿宋" w:cs="宋体"/>
                <w:kern w:val="0"/>
                <w:szCs w:val="21"/>
              </w:rPr>
              <w:t>；</w:t>
            </w:r>
            <w:bookmarkStart w:id="32" w:name="OLE_LINK49"/>
            <w:bookmarkStart w:id="33" w:name="OLE_LINK50"/>
            <w:r>
              <w:rPr>
                <w:rFonts w:hint="eastAsia" w:ascii="仿宋" w:hAnsi="仿宋" w:eastAsia="仿宋" w:cs="宋体"/>
                <w:kern w:val="0"/>
                <w:szCs w:val="21"/>
              </w:rPr>
              <w:t>楼层窗户安全防护不符合要求</w:t>
            </w:r>
            <w:bookmarkEnd w:id="32"/>
            <w:bookmarkEnd w:id="33"/>
            <w:r>
              <w:rPr>
                <w:rFonts w:hint="eastAsia" w:ascii="仿宋" w:hAnsi="仿宋" w:eastAsia="仿宋" w:cs="宋体"/>
                <w:kern w:val="0"/>
                <w:szCs w:val="21"/>
              </w:rPr>
              <w:t>；</w:t>
            </w:r>
            <w:bookmarkStart w:id="34" w:name="OLE_LINK51"/>
            <w:r>
              <w:rPr>
                <w:rFonts w:hint="eastAsia" w:ascii="仿宋" w:hAnsi="仿宋" w:eastAsia="仿宋" w:cs="宋体"/>
                <w:kern w:val="0"/>
                <w:szCs w:val="21"/>
              </w:rPr>
              <w:t>楼梯平台防护不到位</w:t>
            </w:r>
            <w:bookmarkEnd w:id="34"/>
            <w:r>
              <w:rPr>
                <w:rFonts w:hint="eastAsia" w:ascii="仿宋" w:hAnsi="仿宋" w:eastAsia="仿宋" w:cs="宋体"/>
                <w:kern w:val="0"/>
                <w:szCs w:val="21"/>
              </w:rPr>
              <w:t>；</w:t>
            </w:r>
            <w:bookmarkStart w:id="35" w:name="OLE_LINK52"/>
            <w:bookmarkStart w:id="36" w:name="OLE_LINK53"/>
            <w:r>
              <w:rPr>
                <w:rFonts w:hint="eastAsia" w:ascii="仿宋" w:hAnsi="仿宋" w:eastAsia="仿宋" w:cs="宋体"/>
                <w:kern w:val="0"/>
                <w:szCs w:val="21"/>
              </w:rPr>
              <w:t>楼梯平台配电箱未接地</w:t>
            </w:r>
            <w:bookmarkEnd w:id="35"/>
            <w:bookmarkEnd w:id="36"/>
            <w:r>
              <w:rPr>
                <w:rFonts w:hint="eastAsia" w:ascii="仿宋" w:hAnsi="仿宋" w:eastAsia="仿宋" w:cs="宋体"/>
                <w:kern w:val="0"/>
                <w:szCs w:val="21"/>
              </w:rPr>
              <w:t>；EPS易</w:t>
            </w:r>
            <w:bookmarkStart w:id="37" w:name="OLE_LINK54"/>
            <w:bookmarkStart w:id="38" w:name="OLE_LINK55"/>
            <w:r>
              <w:rPr>
                <w:rFonts w:hint="eastAsia" w:ascii="仿宋" w:hAnsi="仿宋" w:eastAsia="仿宋" w:cs="宋体"/>
                <w:kern w:val="0"/>
                <w:szCs w:val="21"/>
              </w:rPr>
              <w:t>燃材料施工未配备灭火器</w:t>
            </w:r>
            <w:bookmarkEnd w:id="37"/>
            <w:bookmarkEnd w:id="38"/>
            <w:r>
              <w:rPr>
                <w:rFonts w:hint="eastAsia" w:ascii="仿宋" w:hAnsi="仿宋" w:eastAsia="仿宋" w:cs="宋体"/>
                <w:kern w:val="0"/>
                <w:szCs w:val="21"/>
              </w:rPr>
              <w:t>；室外施工临边未采用硬防护、裸土未覆盖、围挡喷淋未设置。</w:t>
            </w:r>
          </w:p>
        </w:tc>
      </w:tr>
      <w:tr w14:paraId="004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1" w:hRule="atLeast"/>
        </w:trPr>
        <w:tc>
          <w:tcPr>
            <w:tcW w:w="199" w:type="pct"/>
            <w:vAlign w:val="center"/>
          </w:tcPr>
          <w:p w14:paraId="0B66FB23">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15</w:t>
            </w:r>
          </w:p>
        </w:tc>
        <w:tc>
          <w:tcPr>
            <w:tcW w:w="516" w:type="pct"/>
            <w:vAlign w:val="center"/>
          </w:tcPr>
          <w:p w14:paraId="23486C33">
            <w:pPr>
              <w:spacing w:line="280" w:lineRule="exact"/>
              <w:jc w:val="center"/>
              <w:rPr>
                <w:rFonts w:ascii="仿宋" w:hAnsi="仿宋" w:eastAsia="仿宋"/>
                <w:szCs w:val="21"/>
              </w:rPr>
            </w:pPr>
            <w:r>
              <w:rPr>
                <w:rFonts w:hint="eastAsia" w:ascii="仿宋" w:hAnsi="仿宋" w:eastAsia="仿宋"/>
                <w:szCs w:val="21"/>
              </w:rPr>
              <w:t>年产240万吨新型智能化功能性纤维及20万吨DTY差别化纤维项目一期-危废库，固废库，污水处理楼，污水设备楼</w:t>
            </w:r>
          </w:p>
        </w:tc>
        <w:tc>
          <w:tcPr>
            <w:tcW w:w="505" w:type="pct"/>
            <w:vAlign w:val="center"/>
          </w:tcPr>
          <w:p w14:paraId="49AB689B">
            <w:pPr>
              <w:spacing w:line="280" w:lineRule="exact"/>
              <w:jc w:val="center"/>
              <w:rPr>
                <w:rFonts w:ascii="仿宋" w:hAnsi="仿宋" w:eastAsia="仿宋"/>
                <w:szCs w:val="21"/>
              </w:rPr>
            </w:pPr>
            <w:r>
              <w:rPr>
                <w:rFonts w:hint="eastAsia" w:ascii="仿宋" w:hAnsi="仿宋" w:eastAsia="仿宋"/>
                <w:szCs w:val="21"/>
              </w:rPr>
              <w:t>东南建设管理有限公司</w:t>
            </w:r>
          </w:p>
        </w:tc>
        <w:tc>
          <w:tcPr>
            <w:tcW w:w="555" w:type="pct"/>
            <w:vAlign w:val="center"/>
          </w:tcPr>
          <w:p w14:paraId="3CB6B7E8">
            <w:pPr>
              <w:widowControl/>
              <w:spacing w:line="280" w:lineRule="exact"/>
              <w:jc w:val="left"/>
              <w:rPr>
                <w:rFonts w:ascii="仿宋" w:hAnsi="仿宋" w:eastAsia="仿宋"/>
                <w:szCs w:val="21"/>
              </w:rPr>
            </w:pPr>
            <w:r>
              <w:rPr>
                <w:rFonts w:hint="eastAsia" w:ascii="仿宋" w:hAnsi="仿宋" w:eastAsia="仿宋" w:cs="宋体"/>
                <w:kern w:val="0"/>
                <w:szCs w:val="21"/>
              </w:rPr>
              <w:t>竣工收尾</w:t>
            </w:r>
          </w:p>
        </w:tc>
        <w:tc>
          <w:tcPr>
            <w:tcW w:w="3225" w:type="pct"/>
            <w:vAlign w:val="center"/>
          </w:tcPr>
          <w:p w14:paraId="7E8FA12C">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szCs w:val="21"/>
              </w:rPr>
              <w:t>项目监理部到位3人中有2人非备案人员，实际到位人员与备案人员不符，未履行变更手续；未到位人员未登录“项目监管系统”请假登记留痕；无挂设监理部铭牌；</w:t>
            </w:r>
            <w:r>
              <w:rPr>
                <w:rFonts w:hint="eastAsia" w:ascii="仿宋" w:hAnsi="仿宋" w:eastAsia="仿宋" w:cs="宋体"/>
                <w:kern w:val="0"/>
                <w:szCs w:val="21"/>
              </w:rPr>
              <w:t>监理部无公司制定安全质量监理制度，无危大工程专项施工方案审查制度、监理实施细则编制制度、专项安全巡视制度、验收制度、安全档案管理制度等。2025年4月30日日志记录不真实、不及时、不全面，无总监审阅；无开工生产条件审查：检查情况未填写；施工组织设计审查总监未签署审查意见；特种作业人员证件朱惠安熔化焊接与热切割作业无证件；现场资料未分类组卷存档管理；无监理图纸自审记录、无图纸会审记录；开工报审表未加盖执业章。</w:t>
            </w:r>
          </w:p>
          <w:p w14:paraId="1072401A">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bookmarkStart w:id="39" w:name="OLE_LINK70"/>
            <w:bookmarkStart w:id="40" w:name="OLE_LINK71"/>
            <w:bookmarkStart w:id="41" w:name="OLE_LINK57"/>
            <w:bookmarkStart w:id="42" w:name="OLE_LINK56"/>
            <w:r>
              <w:rPr>
                <w:rFonts w:hint="eastAsia" w:ascii="仿宋" w:hAnsi="仿宋" w:eastAsia="仿宋" w:cs="宋体"/>
                <w:kern w:val="0"/>
                <w:szCs w:val="21"/>
              </w:rPr>
              <w:t>污水设备楼</w:t>
            </w:r>
            <w:bookmarkEnd w:id="39"/>
            <w:bookmarkEnd w:id="40"/>
            <w:r>
              <w:rPr>
                <w:rFonts w:hint="eastAsia" w:ascii="仿宋" w:hAnsi="仿宋" w:eastAsia="仿宋" w:cs="宋体"/>
                <w:kern w:val="0"/>
                <w:szCs w:val="21"/>
              </w:rPr>
              <w:t>门先于门底施工完成</w:t>
            </w:r>
            <w:bookmarkEnd w:id="41"/>
            <w:bookmarkEnd w:id="42"/>
            <w:r>
              <w:rPr>
                <w:rFonts w:hint="eastAsia" w:ascii="仿宋" w:hAnsi="仿宋" w:eastAsia="仿宋" w:cs="宋体"/>
                <w:kern w:val="0"/>
                <w:szCs w:val="21"/>
              </w:rPr>
              <w:t>；</w:t>
            </w:r>
            <w:bookmarkStart w:id="43" w:name="OLE_LINK61"/>
            <w:bookmarkStart w:id="44" w:name="OLE_LINK60"/>
            <w:r>
              <w:rPr>
                <w:rFonts w:hint="eastAsia" w:ascii="仿宋" w:hAnsi="仿宋" w:eastAsia="仿宋" w:cs="宋体"/>
                <w:kern w:val="0"/>
                <w:szCs w:val="21"/>
              </w:rPr>
              <w:t>污水设备楼门塞缝采用砖块</w:t>
            </w:r>
            <w:bookmarkEnd w:id="43"/>
            <w:bookmarkEnd w:id="44"/>
            <w:r>
              <w:rPr>
                <w:rFonts w:hint="eastAsia" w:ascii="仿宋" w:hAnsi="仿宋" w:eastAsia="仿宋" w:cs="宋体"/>
                <w:kern w:val="0"/>
                <w:szCs w:val="21"/>
              </w:rPr>
              <w:t>；</w:t>
            </w:r>
            <w:bookmarkStart w:id="45" w:name="OLE_LINK58"/>
            <w:bookmarkStart w:id="46" w:name="OLE_LINK59"/>
            <w:r>
              <w:rPr>
                <w:rFonts w:hint="eastAsia" w:ascii="仿宋" w:hAnsi="仿宋" w:eastAsia="仿宋" w:cs="宋体"/>
                <w:kern w:val="0"/>
                <w:szCs w:val="21"/>
              </w:rPr>
              <w:t>外墙涂料施工先于窗角施工，摸灰粗糙</w:t>
            </w:r>
            <w:bookmarkEnd w:id="45"/>
            <w:bookmarkEnd w:id="46"/>
            <w:r>
              <w:rPr>
                <w:rFonts w:hint="eastAsia" w:ascii="仿宋" w:hAnsi="仿宋" w:eastAsia="仿宋" w:cs="宋体"/>
                <w:kern w:val="0"/>
                <w:szCs w:val="21"/>
              </w:rPr>
              <w:t>；</w:t>
            </w:r>
            <w:bookmarkStart w:id="47" w:name="OLE_LINK62"/>
            <w:r>
              <w:rPr>
                <w:rFonts w:hint="eastAsia" w:ascii="仿宋" w:hAnsi="仿宋" w:eastAsia="仿宋" w:cs="宋体"/>
                <w:kern w:val="0"/>
                <w:szCs w:val="21"/>
              </w:rPr>
              <w:t>污水处理楼采用排插，电动车在现场充电</w:t>
            </w:r>
            <w:bookmarkEnd w:id="47"/>
            <w:r>
              <w:rPr>
                <w:rFonts w:hint="eastAsia" w:ascii="仿宋" w:hAnsi="仿宋" w:eastAsia="仿宋" w:cs="宋体"/>
                <w:kern w:val="0"/>
                <w:szCs w:val="21"/>
              </w:rPr>
              <w:t>；</w:t>
            </w:r>
            <w:bookmarkStart w:id="48" w:name="OLE_LINK69"/>
            <w:bookmarkStart w:id="49" w:name="OLE_LINK68"/>
            <w:r>
              <w:rPr>
                <w:rFonts w:hint="eastAsia" w:ascii="仿宋" w:hAnsi="仿宋" w:eastAsia="仿宋" w:cs="宋体"/>
                <w:kern w:val="0"/>
                <w:szCs w:val="21"/>
              </w:rPr>
              <w:t>污水处理楼楼梯栏杆未施工，临边未做防护</w:t>
            </w:r>
            <w:bookmarkEnd w:id="48"/>
            <w:bookmarkEnd w:id="49"/>
            <w:r>
              <w:rPr>
                <w:rFonts w:hint="eastAsia" w:ascii="仿宋" w:hAnsi="仿宋" w:eastAsia="仿宋" w:cs="宋体"/>
                <w:kern w:val="0"/>
                <w:szCs w:val="21"/>
              </w:rPr>
              <w:t>；</w:t>
            </w:r>
            <w:bookmarkStart w:id="50" w:name="OLE_LINK63"/>
            <w:r>
              <w:rPr>
                <w:rFonts w:hint="eastAsia" w:ascii="仿宋" w:hAnsi="仿宋" w:eastAsia="仿宋" w:cs="宋体"/>
                <w:kern w:val="0"/>
                <w:szCs w:val="21"/>
              </w:rPr>
              <w:t>现场配电箱未接零、接地，开关箱漏电动作电流大于30mA</w:t>
            </w:r>
            <w:bookmarkEnd w:id="50"/>
            <w:r>
              <w:rPr>
                <w:rFonts w:hint="eastAsia" w:ascii="仿宋" w:hAnsi="仿宋" w:eastAsia="仿宋" w:cs="宋体"/>
                <w:kern w:val="0"/>
                <w:szCs w:val="21"/>
              </w:rPr>
              <w:t>；</w:t>
            </w:r>
            <w:bookmarkStart w:id="51" w:name="OLE_LINK64"/>
            <w:bookmarkStart w:id="52" w:name="OLE_LINK65"/>
            <w:r>
              <w:rPr>
                <w:rFonts w:hint="eastAsia" w:ascii="仿宋" w:hAnsi="仿宋" w:eastAsia="仿宋" w:cs="宋体"/>
                <w:kern w:val="0"/>
                <w:szCs w:val="21"/>
              </w:rPr>
              <w:t>操作架未做防护、架体未完整</w:t>
            </w:r>
            <w:bookmarkEnd w:id="51"/>
            <w:bookmarkEnd w:id="52"/>
            <w:r>
              <w:rPr>
                <w:rFonts w:hint="eastAsia" w:ascii="仿宋" w:hAnsi="仿宋" w:eastAsia="仿宋" w:cs="宋体"/>
                <w:kern w:val="0"/>
                <w:szCs w:val="21"/>
              </w:rPr>
              <w:t>；</w:t>
            </w:r>
            <w:bookmarkStart w:id="53" w:name="OLE_LINK67"/>
            <w:bookmarkStart w:id="54" w:name="OLE_LINK66"/>
            <w:r>
              <w:rPr>
                <w:rFonts w:hint="eastAsia" w:ascii="仿宋" w:hAnsi="仿宋" w:eastAsia="仿宋" w:cs="宋体"/>
                <w:kern w:val="0"/>
                <w:szCs w:val="21"/>
              </w:rPr>
              <w:t>现场无大门、洗车台、围挡等</w:t>
            </w:r>
            <w:bookmarkEnd w:id="53"/>
            <w:bookmarkEnd w:id="54"/>
            <w:r>
              <w:rPr>
                <w:rFonts w:hint="eastAsia" w:ascii="仿宋" w:hAnsi="仿宋" w:eastAsia="仿宋" w:cs="宋体"/>
                <w:kern w:val="0"/>
                <w:szCs w:val="21"/>
              </w:rPr>
              <w:t>。</w:t>
            </w:r>
          </w:p>
        </w:tc>
      </w:tr>
      <w:tr w14:paraId="1EEF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4" w:hRule="atLeast"/>
        </w:trPr>
        <w:tc>
          <w:tcPr>
            <w:tcW w:w="199" w:type="pct"/>
            <w:vAlign w:val="center"/>
          </w:tcPr>
          <w:p w14:paraId="32903D7F">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16</w:t>
            </w:r>
          </w:p>
        </w:tc>
        <w:tc>
          <w:tcPr>
            <w:tcW w:w="516" w:type="pct"/>
            <w:vAlign w:val="center"/>
          </w:tcPr>
          <w:p w14:paraId="67E58B33">
            <w:pPr>
              <w:spacing w:line="280" w:lineRule="exact"/>
              <w:jc w:val="center"/>
              <w:rPr>
                <w:rFonts w:ascii="仿宋" w:hAnsi="仿宋" w:eastAsia="仿宋" w:cs="宋体"/>
                <w:szCs w:val="21"/>
              </w:rPr>
            </w:pPr>
            <w:r>
              <w:rPr>
                <w:rFonts w:hint="eastAsia" w:ascii="仿宋" w:hAnsi="仿宋" w:eastAsia="仿宋"/>
                <w:szCs w:val="21"/>
              </w:rPr>
              <w:t>古雷石化基地热电联产南部二期项目-综合楼</w:t>
            </w:r>
          </w:p>
        </w:tc>
        <w:tc>
          <w:tcPr>
            <w:tcW w:w="505" w:type="pct"/>
            <w:vAlign w:val="center"/>
          </w:tcPr>
          <w:p w14:paraId="28E78B37">
            <w:pPr>
              <w:spacing w:line="280" w:lineRule="exact"/>
              <w:jc w:val="center"/>
              <w:rPr>
                <w:rFonts w:ascii="仿宋" w:hAnsi="仿宋" w:eastAsia="仿宋" w:cs="宋体"/>
                <w:szCs w:val="21"/>
              </w:rPr>
            </w:pPr>
            <w:r>
              <w:rPr>
                <w:rFonts w:hint="eastAsia" w:ascii="仿宋" w:hAnsi="仿宋" w:eastAsia="仿宋"/>
                <w:szCs w:val="21"/>
              </w:rPr>
              <w:t>中达安股份有限公司</w:t>
            </w:r>
          </w:p>
        </w:tc>
        <w:tc>
          <w:tcPr>
            <w:tcW w:w="555" w:type="pct"/>
            <w:vAlign w:val="center"/>
          </w:tcPr>
          <w:p w14:paraId="06A4B439">
            <w:pPr>
              <w:widowControl/>
              <w:spacing w:line="280" w:lineRule="exact"/>
              <w:jc w:val="left"/>
              <w:rPr>
                <w:rFonts w:ascii="仿宋" w:hAnsi="仿宋" w:eastAsia="仿宋"/>
                <w:szCs w:val="21"/>
              </w:rPr>
            </w:pPr>
            <w:r>
              <w:rPr>
                <w:rFonts w:hint="eastAsia" w:ascii="仿宋" w:hAnsi="仿宋" w:eastAsia="仿宋" w:cs="宋体"/>
                <w:bCs/>
                <w:kern w:val="0"/>
                <w:szCs w:val="21"/>
              </w:rPr>
              <w:t>主体阶段</w:t>
            </w:r>
          </w:p>
        </w:tc>
        <w:tc>
          <w:tcPr>
            <w:tcW w:w="3225" w:type="pct"/>
            <w:vAlign w:val="center"/>
          </w:tcPr>
          <w:p w14:paraId="3BA98802">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szCs w:val="21"/>
              </w:rPr>
              <w:t>未到位人员（1人）未登录“项目监管系统”请假登记留痕；</w:t>
            </w:r>
            <w:r>
              <w:rPr>
                <w:rFonts w:hint="eastAsia" w:ascii="仿宋" w:hAnsi="仿宋" w:eastAsia="仿宋" w:cs="宋体"/>
                <w:kern w:val="0"/>
                <w:szCs w:val="21"/>
              </w:rPr>
              <w:t>无挂设项目监理部铭牌。项目监理部无法提供公司管理制度书面纸质资料。监理单位检查的责令整改单反映的问题无具体部位；现场资料未分类组卷存档管理；资料存档不及时、不完整；监理日志总监未审阅；无法体现总监定期质量安全监理巡视记录。</w:t>
            </w:r>
          </w:p>
          <w:p w14:paraId="2EF1F208">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bookmarkStart w:id="55" w:name="OLE_LINK72"/>
            <w:bookmarkStart w:id="56" w:name="OLE_LINK73"/>
            <w:bookmarkStart w:id="57" w:name="OLE_LINK76"/>
            <w:bookmarkStart w:id="58" w:name="OLE_LINK77"/>
            <w:r>
              <w:rPr>
                <w:rFonts w:hint="eastAsia" w:ascii="仿宋" w:hAnsi="仿宋" w:eastAsia="仿宋" w:cs="宋体"/>
                <w:kern w:val="0"/>
                <w:szCs w:val="21"/>
              </w:rPr>
              <w:t>输煤综合楼</w:t>
            </w:r>
            <w:bookmarkEnd w:id="55"/>
            <w:bookmarkEnd w:id="56"/>
            <w:r>
              <w:rPr>
                <w:rFonts w:hint="eastAsia" w:ascii="仿宋" w:hAnsi="仿宋" w:eastAsia="仿宋" w:cs="宋体"/>
                <w:kern w:val="0"/>
                <w:szCs w:val="21"/>
              </w:rPr>
              <w:t>操作架距离主体超过15cm未做防护</w:t>
            </w:r>
            <w:bookmarkEnd w:id="57"/>
            <w:bookmarkEnd w:id="58"/>
            <w:r>
              <w:rPr>
                <w:rFonts w:hint="eastAsia" w:ascii="仿宋" w:hAnsi="仿宋" w:eastAsia="仿宋" w:cs="宋体"/>
                <w:kern w:val="0"/>
                <w:szCs w:val="21"/>
              </w:rPr>
              <w:t>；</w:t>
            </w:r>
            <w:bookmarkStart w:id="59" w:name="OLE_LINK80"/>
            <w:bookmarkStart w:id="60" w:name="OLE_LINK81"/>
            <w:bookmarkStart w:id="61" w:name="OLE_LINK79"/>
            <w:bookmarkStart w:id="62" w:name="OLE_LINK78"/>
            <w:r>
              <w:rPr>
                <w:rFonts w:hint="eastAsia" w:ascii="仿宋" w:hAnsi="仿宋" w:eastAsia="仿宋" w:cs="宋体"/>
                <w:kern w:val="0"/>
                <w:szCs w:val="21"/>
              </w:rPr>
              <w:t>输煤综合楼</w:t>
            </w:r>
            <w:bookmarkEnd w:id="59"/>
            <w:bookmarkEnd w:id="60"/>
            <w:r>
              <w:rPr>
                <w:rFonts w:hint="eastAsia" w:ascii="仿宋" w:hAnsi="仿宋" w:eastAsia="仿宋" w:cs="宋体"/>
                <w:kern w:val="0"/>
                <w:szCs w:val="21"/>
              </w:rPr>
              <w:t>盘扣插销未敲紧</w:t>
            </w:r>
            <w:bookmarkEnd w:id="61"/>
            <w:bookmarkEnd w:id="62"/>
            <w:r>
              <w:rPr>
                <w:rFonts w:hint="eastAsia" w:ascii="仿宋" w:hAnsi="仿宋" w:eastAsia="仿宋" w:cs="宋体"/>
                <w:kern w:val="0"/>
                <w:szCs w:val="21"/>
              </w:rPr>
              <w:t>；输煤综合楼通道口存在不合格钢丝绳；构造柱钢筋偏位。</w:t>
            </w:r>
          </w:p>
        </w:tc>
      </w:tr>
      <w:tr w14:paraId="4287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8" w:hRule="atLeast"/>
        </w:trPr>
        <w:tc>
          <w:tcPr>
            <w:tcW w:w="199" w:type="pct"/>
            <w:vAlign w:val="center"/>
          </w:tcPr>
          <w:p w14:paraId="3958AA58">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17</w:t>
            </w:r>
          </w:p>
        </w:tc>
        <w:tc>
          <w:tcPr>
            <w:tcW w:w="516" w:type="pct"/>
            <w:vAlign w:val="center"/>
          </w:tcPr>
          <w:p w14:paraId="608CA68C">
            <w:pPr>
              <w:spacing w:line="280" w:lineRule="exact"/>
              <w:jc w:val="center"/>
              <w:rPr>
                <w:rFonts w:ascii="仿宋" w:hAnsi="仿宋" w:eastAsia="仿宋"/>
                <w:szCs w:val="21"/>
              </w:rPr>
            </w:pPr>
            <w:r>
              <w:rPr>
                <w:rFonts w:hint="eastAsia" w:ascii="仿宋" w:hAnsi="仿宋" w:eastAsia="仿宋"/>
                <w:szCs w:val="21"/>
              </w:rPr>
              <w:t>漳州台商龙江校区工程</w:t>
            </w:r>
          </w:p>
        </w:tc>
        <w:tc>
          <w:tcPr>
            <w:tcW w:w="505" w:type="pct"/>
            <w:vAlign w:val="center"/>
          </w:tcPr>
          <w:p w14:paraId="5452CD10">
            <w:pPr>
              <w:spacing w:line="280" w:lineRule="exact"/>
              <w:jc w:val="center"/>
              <w:rPr>
                <w:rFonts w:ascii="仿宋" w:hAnsi="仿宋" w:eastAsia="仿宋"/>
                <w:szCs w:val="21"/>
              </w:rPr>
            </w:pPr>
            <w:r>
              <w:rPr>
                <w:rFonts w:hint="eastAsia" w:ascii="仿宋" w:hAnsi="仿宋" w:eastAsia="仿宋"/>
                <w:szCs w:val="21"/>
              </w:rPr>
              <w:t>福建源恒工程监理有限公司</w:t>
            </w:r>
          </w:p>
        </w:tc>
        <w:tc>
          <w:tcPr>
            <w:tcW w:w="555" w:type="pct"/>
            <w:vAlign w:val="center"/>
          </w:tcPr>
          <w:p w14:paraId="014EBF98">
            <w:pPr>
              <w:widowControl/>
              <w:spacing w:line="280" w:lineRule="exact"/>
              <w:jc w:val="left"/>
              <w:rPr>
                <w:rFonts w:ascii="仿宋" w:hAnsi="仿宋" w:eastAsia="仿宋"/>
                <w:szCs w:val="21"/>
              </w:rPr>
            </w:pPr>
            <w:r>
              <w:rPr>
                <w:rFonts w:hint="eastAsia" w:ascii="仿宋" w:hAnsi="仿宋" w:eastAsia="仿宋" w:cs="宋体"/>
                <w:bCs/>
                <w:kern w:val="0"/>
                <w:szCs w:val="21"/>
              </w:rPr>
              <w:t>主体阶段</w:t>
            </w:r>
          </w:p>
        </w:tc>
        <w:tc>
          <w:tcPr>
            <w:tcW w:w="3225" w:type="pct"/>
          </w:tcPr>
          <w:p w14:paraId="7592E3A1">
            <w:pPr>
              <w:spacing w:line="280" w:lineRule="exact"/>
              <w:rPr>
                <w:rFonts w:ascii="仿宋" w:hAnsi="仿宋" w:eastAsia="仿宋" w:cs="宋体"/>
                <w:bCs/>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bCs/>
                <w:kern w:val="0"/>
                <w:szCs w:val="21"/>
              </w:rPr>
              <w:t>施工现场检查通知单（整改通知单编号：02）检查照片未体现公司领导带队检查；监理单位检查的责令整改单反映的问题无具体部位。监理规划针对性、操作性不强；监理日志2025.8.3材料进场验收（盘扣、立杆、顶托）立杆报验日期为7.18监理日志记录不真实；2025年8月14日总监危大工程巡视记录发现问题及处理情况记录不全；对超过一定规模危险性较大的分部分项工程安全专项施工方案（深基坑）（论证前）（论证后）专监未填写意见；施工组织设计未签署审查意见。</w:t>
            </w:r>
          </w:p>
          <w:p w14:paraId="4B6B1D5E">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bookmarkStart w:id="63" w:name="OLE_LINK82"/>
            <w:bookmarkStart w:id="64" w:name="OLE_LINK83"/>
            <w:bookmarkStart w:id="65" w:name="OLE_LINK102"/>
            <w:bookmarkStart w:id="66" w:name="OLE_LINK103"/>
            <w:r>
              <w:rPr>
                <w:rFonts w:hint="eastAsia" w:ascii="仿宋" w:hAnsi="仿宋" w:eastAsia="仿宋" w:cs="宋体"/>
                <w:bCs/>
                <w:kern w:val="0"/>
                <w:szCs w:val="21"/>
              </w:rPr>
              <w:t>分区1（1-2#）</w:t>
            </w:r>
            <w:bookmarkEnd w:id="63"/>
            <w:bookmarkEnd w:id="64"/>
            <w:r>
              <w:rPr>
                <w:rFonts w:hint="eastAsia" w:ascii="仿宋" w:hAnsi="仿宋" w:eastAsia="仿宋" w:cs="宋体"/>
                <w:bCs/>
                <w:kern w:val="0"/>
                <w:szCs w:val="21"/>
              </w:rPr>
              <w:t>旁柱钢筋套筒露丝超过</w:t>
            </w:r>
            <w:bookmarkEnd w:id="65"/>
            <w:bookmarkEnd w:id="66"/>
            <w:r>
              <w:rPr>
                <w:rFonts w:hint="eastAsia" w:ascii="仿宋" w:hAnsi="仿宋" w:eastAsia="仿宋" w:cs="宋体"/>
                <w:bCs/>
                <w:kern w:val="0"/>
                <w:szCs w:val="21"/>
              </w:rPr>
              <w:t>；</w:t>
            </w:r>
            <w:bookmarkStart w:id="67" w:name="OLE_LINK91"/>
            <w:bookmarkStart w:id="68" w:name="OLE_LINK104"/>
            <w:bookmarkStart w:id="69" w:name="OLE_LINK105"/>
            <w:r>
              <w:rPr>
                <w:rFonts w:hint="eastAsia" w:ascii="仿宋" w:hAnsi="仿宋" w:eastAsia="仿宋" w:cs="宋体"/>
                <w:bCs/>
                <w:kern w:val="0"/>
                <w:szCs w:val="21"/>
              </w:rPr>
              <w:t>分区1（1-2#）</w:t>
            </w:r>
            <w:bookmarkEnd w:id="67"/>
            <w:r>
              <w:rPr>
                <w:rFonts w:hint="eastAsia" w:ascii="仿宋" w:hAnsi="仿宋" w:eastAsia="仿宋" w:cs="宋体"/>
                <w:bCs/>
                <w:kern w:val="0"/>
                <w:szCs w:val="21"/>
              </w:rPr>
              <w:t>钢筋未满绑</w:t>
            </w:r>
            <w:bookmarkEnd w:id="68"/>
            <w:bookmarkEnd w:id="69"/>
            <w:r>
              <w:rPr>
                <w:rFonts w:hint="eastAsia" w:ascii="仿宋" w:hAnsi="仿宋" w:eastAsia="仿宋" w:cs="宋体"/>
                <w:bCs/>
                <w:kern w:val="0"/>
                <w:szCs w:val="21"/>
              </w:rPr>
              <w:t>；</w:t>
            </w:r>
            <w:bookmarkStart w:id="70" w:name="OLE_LINK106"/>
            <w:bookmarkStart w:id="71" w:name="OLE_LINK107"/>
            <w:r>
              <w:rPr>
                <w:rFonts w:hint="eastAsia" w:ascii="仿宋" w:hAnsi="仿宋" w:eastAsia="仿宋" w:cs="宋体"/>
                <w:bCs/>
                <w:kern w:val="0"/>
                <w:szCs w:val="21"/>
              </w:rPr>
              <w:t>分区1（1-2#）钢筋间距超过图纸15cm要求</w:t>
            </w:r>
            <w:bookmarkEnd w:id="70"/>
            <w:bookmarkEnd w:id="71"/>
            <w:r>
              <w:rPr>
                <w:rFonts w:hint="eastAsia" w:ascii="仿宋" w:hAnsi="仿宋" w:eastAsia="仿宋" w:cs="宋体"/>
                <w:bCs/>
                <w:kern w:val="0"/>
                <w:szCs w:val="21"/>
              </w:rPr>
              <w:t>；</w:t>
            </w:r>
            <w:bookmarkStart w:id="72" w:name="OLE_LINK86"/>
            <w:bookmarkStart w:id="73" w:name="OLE_LINK85"/>
            <w:bookmarkStart w:id="74" w:name="OLE_LINK109"/>
            <w:bookmarkStart w:id="75" w:name="OLE_LINK108"/>
            <w:r>
              <w:rPr>
                <w:rFonts w:hint="eastAsia" w:ascii="仿宋" w:hAnsi="仿宋" w:eastAsia="仿宋" w:cs="宋体"/>
                <w:bCs/>
                <w:kern w:val="0"/>
                <w:szCs w:val="21"/>
              </w:rPr>
              <w:t>地下室</w:t>
            </w:r>
            <w:bookmarkStart w:id="76" w:name="OLE_LINK84"/>
            <w:r>
              <w:rPr>
                <w:rFonts w:hint="eastAsia" w:ascii="仿宋" w:hAnsi="仿宋" w:eastAsia="仿宋" w:cs="宋体"/>
                <w:bCs/>
                <w:kern w:val="0"/>
                <w:szCs w:val="21"/>
              </w:rPr>
              <w:t>喷锚</w:t>
            </w:r>
            <w:bookmarkEnd w:id="72"/>
            <w:bookmarkEnd w:id="73"/>
            <w:bookmarkEnd w:id="76"/>
            <w:r>
              <w:rPr>
                <w:rFonts w:hint="eastAsia" w:ascii="仿宋" w:hAnsi="仿宋" w:eastAsia="仿宋" w:cs="宋体"/>
                <w:bCs/>
                <w:kern w:val="0"/>
                <w:szCs w:val="21"/>
              </w:rPr>
              <w:t>现场未设置配合比，询问工人回答不上来</w:t>
            </w:r>
            <w:bookmarkEnd w:id="74"/>
            <w:bookmarkEnd w:id="75"/>
            <w:r>
              <w:rPr>
                <w:rFonts w:hint="eastAsia" w:ascii="仿宋" w:hAnsi="仿宋" w:eastAsia="仿宋" w:cs="宋体"/>
                <w:bCs/>
                <w:kern w:val="0"/>
                <w:szCs w:val="21"/>
              </w:rPr>
              <w:t>；</w:t>
            </w:r>
            <w:bookmarkStart w:id="77" w:name="OLE_LINK111"/>
            <w:bookmarkStart w:id="78" w:name="OLE_LINK110"/>
            <w:r>
              <w:rPr>
                <w:rFonts w:hint="eastAsia" w:ascii="仿宋" w:hAnsi="仿宋" w:eastAsia="仿宋" w:cs="宋体"/>
                <w:bCs/>
                <w:kern w:val="0"/>
                <w:szCs w:val="21"/>
              </w:rPr>
              <w:t>地下室喷锚配电箱未做接地保护</w:t>
            </w:r>
            <w:bookmarkEnd w:id="77"/>
            <w:bookmarkEnd w:id="78"/>
            <w:r>
              <w:rPr>
                <w:rFonts w:hint="eastAsia" w:ascii="仿宋" w:hAnsi="仿宋" w:eastAsia="仿宋" w:cs="宋体"/>
                <w:bCs/>
                <w:kern w:val="0"/>
                <w:szCs w:val="21"/>
              </w:rPr>
              <w:t>；</w:t>
            </w:r>
            <w:bookmarkStart w:id="79" w:name="OLE_LINK94"/>
            <w:bookmarkStart w:id="80" w:name="OLE_LINK95"/>
            <w:bookmarkStart w:id="81" w:name="OLE_LINK113"/>
            <w:bookmarkStart w:id="82" w:name="OLE_LINK112"/>
            <w:r>
              <w:rPr>
                <w:rFonts w:hint="eastAsia" w:ascii="仿宋" w:hAnsi="仿宋" w:eastAsia="仿宋" w:cs="宋体"/>
                <w:bCs/>
                <w:kern w:val="0"/>
                <w:szCs w:val="21"/>
              </w:rPr>
              <w:t>分区1（1-2#）盘扣支撑架</w:t>
            </w:r>
            <w:bookmarkEnd w:id="79"/>
            <w:bookmarkEnd w:id="80"/>
            <w:r>
              <w:rPr>
                <w:rFonts w:hint="eastAsia" w:ascii="仿宋" w:hAnsi="仿宋" w:eastAsia="仿宋" w:cs="宋体"/>
                <w:bCs/>
                <w:kern w:val="0"/>
                <w:szCs w:val="21"/>
              </w:rPr>
              <w:t>斜杆设置到位</w:t>
            </w:r>
            <w:bookmarkEnd w:id="81"/>
            <w:bookmarkEnd w:id="82"/>
            <w:r>
              <w:rPr>
                <w:rFonts w:hint="eastAsia" w:ascii="仿宋" w:hAnsi="仿宋" w:eastAsia="仿宋" w:cs="宋体"/>
                <w:bCs/>
                <w:kern w:val="0"/>
                <w:szCs w:val="21"/>
              </w:rPr>
              <w:t>；</w:t>
            </w:r>
            <w:bookmarkStart w:id="83" w:name="OLE_LINK114"/>
            <w:bookmarkStart w:id="84" w:name="OLE_LINK115"/>
            <w:r>
              <w:rPr>
                <w:rFonts w:hint="eastAsia" w:ascii="仿宋" w:hAnsi="仿宋" w:eastAsia="仿宋" w:cs="宋体"/>
                <w:bCs/>
                <w:kern w:val="0"/>
                <w:szCs w:val="21"/>
              </w:rPr>
              <w:t>分区1（1-2#）盘扣支撑架斜杆漏设</w:t>
            </w:r>
            <w:bookmarkEnd w:id="83"/>
            <w:bookmarkEnd w:id="84"/>
            <w:r>
              <w:rPr>
                <w:rFonts w:hint="eastAsia" w:ascii="仿宋" w:hAnsi="仿宋" w:eastAsia="仿宋" w:cs="宋体"/>
                <w:bCs/>
                <w:kern w:val="0"/>
                <w:szCs w:val="21"/>
              </w:rPr>
              <w:t>；</w:t>
            </w:r>
            <w:bookmarkStart w:id="85" w:name="OLE_LINK97"/>
            <w:bookmarkStart w:id="86" w:name="OLE_LINK96"/>
            <w:bookmarkStart w:id="87" w:name="OLE_LINK116"/>
            <w:bookmarkStart w:id="88" w:name="OLE_LINK117"/>
            <w:r>
              <w:rPr>
                <w:rFonts w:hint="eastAsia" w:ascii="仿宋" w:hAnsi="仿宋" w:eastAsia="仿宋" w:cs="宋体"/>
                <w:bCs/>
                <w:kern w:val="0"/>
                <w:szCs w:val="21"/>
              </w:rPr>
              <w:t>分区1（1-2#）</w:t>
            </w:r>
            <w:bookmarkEnd w:id="85"/>
            <w:bookmarkEnd w:id="86"/>
            <w:r>
              <w:rPr>
                <w:rFonts w:hint="eastAsia" w:ascii="仿宋" w:hAnsi="仿宋" w:eastAsia="仿宋" w:cs="宋体"/>
                <w:bCs/>
                <w:kern w:val="0"/>
                <w:szCs w:val="21"/>
              </w:rPr>
              <w:t>盘扣支撑架插销未插紧</w:t>
            </w:r>
            <w:bookmarkEnd w:id="87"/>
            <w:bookmarkEnd w:id="88"/>
            <w:r>
              <w:rPr>
                <w:rFonts w:hint="eastAsia" w:ascii="仿宋" w:hAnsi="仿宋" w:eastAsia="仿宋" w:cs="宋体"/>
                <w:bCs/>
                <w:kern w:val="0"/>
                <w:szCs w:val="21"/>
              </w:rPr>
              <w:t>；</w:t>
            </w:r>
            <w:bookmarkStart w:id="89" w:name="OLE_LINK118"/>
            <w:r>
              <w:rPr>
                <w:rFonts w:hint="eastAsia" w:ascii="仿宋" w:hAnsi="仿宋" w:eastAsia="仿宋" w:cs="宋体"/>
                <w:bCs/>
                <w:kern w:val="0"/>
                <w:szCs w:val="21"/>
              </w:rPr>
              <w:t>分区1（1-2#）双排外架中间距离较大，未做防护</w:t>
            </w:r>
            <w:bookmarkEnd w:id="89"/>
            <w:r>
              <w:rPr>
                <w:rFonts w:hint="eastAsia" w:ascii="仿宋" w:hAnsi="仿宋" w:eastAsia="仿宋" w:cs="宋体"/>
                <w:bCs/>
                <w:kern w:val="0"/>
                <w:szCs w:val="21"/>
              </w:rPr>
              <w:t>；</w:t>
            </w:r>
            <w:bookmarkStart w:id="90" w:name="OLE_LINK100"/>
            <w:bookmarkStart w:id="91" w:name="OLE_LINK101"/>
            <w:r>
              <w:rPr>
                <w:rFonts w:hint="eastAsia" w:ascii="仿宋" w:hAnsi="仿宋" w:eastAsia="仿宋" w:cs="宋体"/>
                <w:bCs/>
                <w:kern w:val="0"/>
                <w:szCs w:val="21"/>
              </w:rPr>
              <w:t>分区1（1-2#）二层临时防护不到位</w:t>
            </w:r>
            <w:bookmarkEnd w:id="90"/>
            <w:bookmarkEnd w:id="91"/>
            <w:r>
              <w:rPr>
                <w:rFonts w:hint="eastAsia" w:ascii="仿宋" w:hAnsi="仿宋" w:eastAsia="仿宋" w:cs="宋体"/>
                <w:bCs/>
                <w:kern w:val="0"/>
                <w:szCs w:val="21"/>
              </w:rPr>
              <w:t>；</w:t>
            </w:r>
            <w:bookmarkStart w:id="92" w:name="OLE_LINK119"/>
            <w:bookmarkStart w:id="93" w:name="OLE_LINK120"/>
            <w:r>
              <w:rPr>
                <w:rFonts w:hint="eastAsia" w:ascii="仿宋" w:hAnsi="仿宋" w:eastAsia="仿宋" w:cs="宋体"/>
                <w:bCs/>
                <w:kern w:val="0"/>
                <w:szCs w:val="21"/>
              </w:rPr>
              <w:t>外架距离主体超过15cm，未防护，钢笆片未有效固定</w:t>
            </w:r>
            <w:bookmarkEnd w:id="92"/>
            <w:bookmarkEnd w:id="93"/>
            <w:r>
              <w:rPr>
                <w:rFonts w:hint="eastAsia" w:ascii="仿宋" w:hAnsi="仿宋" w:eastAsia="仿宋" w:cs="宋体"/>
                <w:bCs/>
                <w:kern w:val="0"/>
                <w:szCs w:val="21"/>
              </w:rPr>
              <w:t>。</w:t>
            </w:r>
          </w:p>
        </w:tc>
      </w:tr>
      <w:tr w14:paraId="0A07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3" w:hRule="atLeast"/>
        </w:trPr>
        <w:tc>
          <w:tcPr>
            <w:tcW w:w="199" w:type="pct"/>
            <w:vAlign w:val="center"/>
          </w:tcPr>
          <w:p w14:paraId="71A23F7A">
            <w:pPr>
              <w:widowControl/>
              <w:snapToGrid w:val="0"/>
              <w:spacing w:line="280" w:lineRule="exact"/>
              <w:jc w:val="center"/>
              <w:rPr>
                <w:rFonts w:ascii="仿宋" w:hAnsi="仿宋" w:eastAsia="仿宋" w:cs="宋体"/>
                <w:kern w:val="0"/>
                <w:szCs w:val="21"/>
              </w:rPr>
            </w:pPr>
            <w:r>
              <w:rPr>
                <w:rFonts w:hint="eastAsia" w:ascii="仿宋" w:hAnsi="仿宋" w:eastAsia="仿宋" w:cs="宋体"/>
                <w:kern w:val="0"/>
                <w:szCs w:val="21"/>
              </w:rPr>
              <w:t>18</w:t>
            </w:r>
          </w:p>
        </w:tc>
        <w:tc>
          <w:tcPr>
            <w:tcW w:w="516" w:type="pct"/>
            <w:vAlign w:val="center"/>
          </w:tcPr>
          <w:p w14:paraId="0685A2E4">
            <w:pPr>
              <w:spacing w:line="280" w:lineRule="exact"/>
              <w:jc w:val="center"/>
              <w:rPr>
                <w:rFonts w:ascii="仿宋" w:hAnsi="仿宋" w:eastAsia="仿宋"/>
                <w:szCs w:val="21"/>
              </w:rPr>
            </w:pPr>
            <w:r>
              <w:rPr>
                <w:rFonts w:hint="eastAsia" w:ascii="仿宋" w:hAnsi="仿宋" w:eastAsia="仿宋"/>
                <w:szCs w:val="21"/>
              </w:rPr>
              <w:t>南湖壹号</w:t>
            </w:r>
          </w:p>
        </w:tc>
        <w:tc>
          <w:tcPr>
            <w:tcW w:w="505" w:type="pct"/>
            <w:vAlign w:val="center"/>
          </w:tcPr>
          <w:p w14:paraId="4EE39C53">
            <w:pPr>
              <w:spacing w:line="280" w:lineRule="exact"/>
              <w:jc w:val="center"/>
              <w:rPr>
                <w:rFonts w:ascii="仿宋" w:hAnsi="仿宋" w:eastAsia="仿宋"/>
                <w:szCs w:val="21"/>
              </w:rPr>
            </w:pPr>
            <w:r>
              <w:rPr>
                <w:rFonts w:hint="eastAsia" w:ascii="仿宋" w:hAnsi="仿宋" w:eastAsia="仿宋"/>
                <w:szCs w:val="21"/>
              </w:rPr>
              <w:t>惠安建设监理有限公司</w:t>
            </w:r>
          </w:p>
        </w:tc>
        <w:tc>
          <w:tcPr>
            <w:tcW w:w="555" w:type="pct"/>
            <w:vAlign w:val="center"/>
          </w:tcPr>
          <w:p w14:paraId="7BA7E60D">
            <w:pPr>
              <w:widowControl/>
              <w:spacing w:line="280" w:lineRule="exact"/>
              <w:jc w:val="left"/>
              <w:rPr>
                <w:rFonts w:ascii="仿宋" w:hAnsi="仿宋" w:eastAsia="仿宋"/>
                <w:szCs w:val="21"/>
              </w:rPr>
            </w:pPr>
            <w:r>
              <w:rPr>
                <w:rFonts w:hint="eastAsia" w:ascii="仿宋" w:hAnsi="仿宋" w:eastAsia="仿宋" w:cs="宋体"/>
                <w:bCs/>
                <w:kern w:val="0"/>
                <w:szCs w:val="21"/>
              </w:rPr>
              <w:t>竣工收尾</w:t>
            </w:r>
          </w:p>
        </w:tc>
        <w:tc>
          <w:tcPr>
            <w:tcW w:w="3225" w:type="pct"/>
            <w:vAlign w:val="center"/>
          </w:tcPr>
          <w:p w14:paraId="1665B6C4">
            <w:pPr>
              <w:spacing w:line="280" w:lineRule="exact"/>
              <w:rPr>
                <w:rFonts w:ascii="仿宋" w:hAnsi="仿宋" w:eastAsia="仿宋" w:cs="宋体"/>
                <w:kern w:val="0"/>
                <w:szCs w:val="21"/>
              </w:rPr>
            </w:pPr>
            <w:r>
              <w:rPr>
                <w:rFonts w:hint="eastAsia" w:ascii="仿宋" w:hAnsi="仿宋" w:eastAsia="仿宋" w:cs="宋体"/>
                <w:b/>
                <w:kern w:val="0"/>
                <w:szCs w:val="21"/>
              </w:rPr>
              <w:t>1.项目监理机构及内业资料情况：</w:t>
            </w:r>
            <w:r>
              <w:rPr>
                <w:rFonts w:hint="eastAsia" w:ascii="仿宋" w:hAnsi="仿宋" w:eastAsia="仿宋" w:cs="宋体"/>
                <w:kern w:val="0"/>
                <w:szCs w:val="21"/>
              </w:rPr>
              <w:t>无招标文件，无中标通知书；监理部无公司制定安全质量监理制度，无危大工程专项施工方案审查制度、监理实施细则编制制度、专项安全巡视制度、验收制度、安全档案管理制度等，监理单位检查的责令整改单反映的问题无具体部位。危险性较大的分部分项工程未列入监理规划；2025-7-27监理日志内容有20250727通知单现场无法提供；2025-7-18至2025年7月23监理日志总监未审阅，施工组织设计未签署审查意见。</w:t>
            </w:r>
          </w:p>
          <w:p w14:paraId="59BF3B0F">
            <w:pPr>
              <w:spacing w:line="280" w:lineRule="exact"/>
              <w:rPr>
                <w:rFonts w:ascii="仿宋" w:hAnsi="仿宋" w:eastAsia="仿宋" w:cs="宋体"/>
                <w:kern w:val="0"/>
                <w:szCs w:val="21"/>
              </w:rPr>
            </w:pPr>
            <w:r>
              <w:rPr>
                <w:rFonts w:hint="eastAsia" w:ascii="仿宋" w:hAnsi="仿宋" w:eastAsia="仿宋" w:cs="宋体"/>
                <w:b/>
                <w:kern w:val="0"/>
                <w:szCs w:val="21"/>
              </w:rPr>
              <w:t>2.现场质量、安全及进度管控情况：</w:t>
            </w:r>
            <w:r>
              <w:rPr>
                <w:rFonts w:hint="eastAsia" w:ascii="仿宋" w:hAnsi="仿宋" w:eastAsia="仿宋" w:cs="宋体"/>
                <w:kern w:val="0"/>
                <w:szCs w:val="21"/>
              </w:rPr>
              <w:t>临时用电未采用</w:t>
            </w:r>
            <w:bookmarkStart w:id="94" w:name="OLE_LINK121"/>
            <w:bookmarkStart w:id="95" w:name="OLE_LINK122"/>
            <w:r>
              <w:rPr>
                <w:rFonts w:hint="eastAsia" w:ascii="仿宋" w:hAnsi="仿宋" w:eastAsia="仿宋" w:cs="宋体"/>
                <w:kern w:val="0"/>
                <w:szCs w:val="21"/>
              </w:rPr>
              <w:t>三相五线制</w:t>
            </w:r>
            <w:bookmarkEnd w:id="94"/>
            <w:bookmarkEnd w:id="95"/>
            <w:r>
              <w:rPr>
                <w:rFonts w:hint="eastAsia" w:ascii="仿宋" w:hAnsi="仿宋" w:eastAsia="仿宋" w:cs="宋体"/>
                <w:kern w:val="0"/>
                <w:szCs w:val="21"/>
              </w:rPr>
              <w:t>；临时用电插座未设置漏保，多处采用两线；</w:t>
            </w:r>
            <w:bookmarkStart w:id="96" w:name="OLE_LINK3"/>
            <w:bookmarkStart w:id="97" w:name="OLE_LINK4"/>
            <w:r>
              <w:rPr>
                <w:rFonts w:hint="eastAsia" w:ascii="仿宋" w:hAnsi="仿宋" w:eastAsia="仿宋" w:cs="宋体"/>
                <w:kern w:val="0"/>
                <w:szCs w:val="21"/>
              </w:rPr>
              <w:t>配电箱未</w:t>
            </w:r>
            <w:bookmarkEnd w:id="96"/>
            <w:bookmarkEnd w:id="97"/>
            <w:r>
              <w:rPr>
                <w:rFonts w:hint="eastAsia" w:ascii="仿宋" w:hAnsi="仿宋" w:eastAsia="仿宋" w:cs="宋体"/>
                <w:kern w:val="0"/>
                <w:szCs w:val="21"/>
              </w:rPr>
              <w:t>做接地保护；</w:t>
            </w:r>
            <w:bookmarkStart w:id="98" w:name="OLE_LINK5"/>
            <w:bookmarkStart w:id="99" w:name="OLE_LINK6"/>
            <w:r>
              <w:rPr>
                <w:rFonts w:hint="eastAsia" w:ascii="仿宋" w:hAnsi="仿宋" w:eastAsia="仿宋" w:cs="宋体"/>
                <w:kern w:val="0"/>
                <w:szCs w:val="21"/>
              </w:rPr>
              <w:t>吊篮工人没有操作资格证</w:t>
            </w:r>
            <w:bookmarkEnd w:id="98"/>
            <w:bookmarkEnd w:id="99"/>
            <w:r>
              <w:rPr>
                <w:rFonts w:hint="eastAsia" w:ascii="仿宋" w:hAnsi="仿宋" w:eastAsia="仿宋" w:cs="宋体"/>
                <w:kern w:val="0"/>
                <w:szCs w:val="21"/>
              </w:rPr>
              <w:t>；</w:t>
            </w:r>
            <w:bookmarkStart w:id="100" w:name="OLE_LINK8"/>
            <w:bookmarkStart w:id="101" w:name="OLE_LINK7"/>
            <w:r>
              <w:rPr>
                <w:rFonts w:hint="eastAsia" w:ascii="仿宋" w:hAnsi="仿宋" w:eastAsia="仿宋" w:cs="宋体"/>
                <w:kern w:val="0"/>
                <w:szCs w:val="21"/>
              </w:rPr>
              <w:t>高空作业未</w:t>
            </w:r>
            <w:bookmarkStart w:id="102" w:name="OLE_LINK123"/>
            <w:bookmarkStart w:id="103" w:name="OLE_LINK124"/>
            <w:r>
              <w:rPr>
                <w:rFonts w:hint="eastAsia" w:ascii="仿宋" w:hAnsi="仿宋" w:eastAsia="仿宋" w:cs="宋体"/>
                <w:kern w:val="0"/>
                <w:szCs w:val="21"/>
              </w:rPr>
              <w:t>系安全带</w:t>
            </w:r>
            <w:bookmarkEnd w:id="100"/>
            <w:bookmarkEnd w:id="101"/>
            <w:bookmarkEnd w:id="102"/>
            <w:bookmarkEnd w:id="103"/>
            <w:r>
              <w:rPr>
                <w:rFonts w:hint="eastAsia" w:ascii="仿宋" w:hAnsi="仿宋" w:eastAsia="仿宋" w:cs="宋体"/>
                <w:kern w:val="0"/>
                <w:szCs w:val="21"/>
              </w:rPr>
              <w:t>；现场灭火器喷头坏；精装木作锯台未做防护。</w:t>
            </w:r>
          </w:p>
        </w:tc>
      </w:tr>
    </w:tbl>
    <w:p w14:paraId="576BA9EE">
      <w:pPr>
        <w:spacing w:line="20" w:lineRule="exact"/>
        <w:rPr>
          <w:rFonts w:ascii="仿宋" w:hAnsi="仿宋" w:eastAsia="仿宋"/>
          <w:sz w:val="30"/>
          <w:szCs w:val="30"/>
        </w:rPr>
      </w:pPr>
    </w:p>
    <w:p w14:paraId="7C003953">
      <w:pPr>
        <w:widowControl/>
        <w:shd w:val="clear" w:color="auto" w:fill="FFFFFF"/>
        <w:spacing w:line="20" w:lineRule="exact"/>
        <w:ind w:firstLine="640" w:firstLineChars="200"/>
        <w:jc w:val="left"/>
        <w:rPr>
          <w:rFonts w:ascii="仿宋" w:hAnsi="仿宋" w:eastAsia="仿宋"/>
          <w:sz w:val="32"/>
          <w:szCs w:val="32"/>
        </w:rPr>
      </w:pPr>
    </w:p>
    <w:sectPr>
      <w:footerReference r:id="rId3" w:type="default"/>
      <w:pgSz w:w="16838" w:h="11906" w:orient="landscape"/>
      <w:pgMar w:top="1418" w:right="1418" w:bottom="1418" w:left="1418" w:header="851"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846592"/>
      <w:docPartObj>
        <w:docPartGallery w:val="AutoText"/>
      </w:docPartObj>
    </w:sdtPr>
    <w:sdtContent>
      <w:p w14:paraId="553E0FDE">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14:paraId="2AF45F3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6A"/>
    <w:rsid w:val="00017A2C"/>
    <w:rsid w:val="00057409"/>
    <w:rsid w:val="000C21C7"/>
    <w:rsid w:val="000F4A64"/>
    <w:rsid w:val="00117913"/>
    <w:rsid w:val="00162E44"/>
    <w:rsid w:val="002069AD"/>
    <w:rsid w:val="0026098F"/>
    <w:rsid w:val="002B2E96"/>
    <w:rsid w:val="002D0558"/>
    <w:rsid w:val="0041407B"/>
    <w:rsid w:val="004837D5"/>
    <w:rsid w:val="004C6F62"/>
    <w:rsid w:val="00540C9C"/>
    <w:rsid w:val="005463AC"/>
    <w:rsid w:val="005F4186"/>
    <w:rsid w:val="006107BE"/>
    <w:rsid w:val="00634004"/>
    <w:rsid w:val="00640FCC"/>
    <w:rsid w:val="00641843"/>
    <w:rsid w:val="006D6C0A"/>
    <w:rsid w:val="00701C13"/>
    <w:rsid w:val="00735686"/>
    <w:rsid w:val="00751E8D"/>
    <w:rsid w:val="007A7929"/>
    <w:rsid w:val="007C77D4"/>
    <w:rsid w:val="007F6891"/>
    <w:rsid w:val="00817CB8"/>
    <w:rsid w:val="008419CC"/>
    <w:rsid w:val="0087020A"/>
    <w:rsid w:val="008A7B28"/>
    <w:rsid w:val="00923F75"/>
    <w:rsid w:val="009534CE"/>
    <w:rsid w:val="00996A13"/>
    <w:rsid w:val="00A119C9"/>
    <w:rsid w:val="00A54571"/>
    <w:rsid w:val="00A66106"/>
    <w:rsid w:val="00AA42FE"/>
    <w:rsid w:val="00AB01D8"/>
    <w:rsid w:val="00AB79B9"/>
    <w:rsid w:val="00AD07D6"/>
    <w:rsid w:val="00B323D5"/>
    <w:rsid w:val="00B4763E"/>
    <w:rsid w:val="00B5426A"/>
    <w:rsid w:val="00B97100"/>
    <w:rsid w:val="00C20552"/>
    <w:rsid w:val="00C24851"/>
    <w:rsid w:val="00C27FB9"/>
    <w:rsid w:val="00C53E3D"/>
    <w:rsid w:val="00CA1211"/>
    <w:rsid w:val="00CD2F3B"/>
    <w:rsid w:val="00D209E5"/>
    <w:rsid w:val="00D373D6"/>
    <w:rsid w:val="00D94B7C"/>
    <w:rsid w:val="00DA1EFE"/>
    <w:rsid w:val="00DF3825"/>
    <w:rsid w:val="00E64474"/>
    <w:rsid w:val="00ED608A"/>
    <w:rsid w:val="00F127B1"/>
    <w:rsid w:val="00FB2C68"/>
    <w:rsid w:val="00FE0BBC"/>
    <w:rsid w:val="00FE350E"/>
    <w:rsid w:val="7D68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qFormat/>
    <w:uiPriority w:val="9"/>
    <w:rPr>
      <w:rFonts w:ascii="宋体" w:hAnsi="宋体" w:eastAsia="宋体" w:cs="宋体"/>
      <w:b/>
      <w:bCs/>
      <w:kern w:val="0"/>
      <w:sz w:val="27"/>
      <w:szCs w:val="27"/>
    </w:rPr>
  </w:style>
  <w:style w:type="paragraph" w:styleId="8">
    <w:name w:val="List Paragraph"/>
    <w:basedOn w:val="1"/>
    <w:qFormat/>
    <w:uiPriority w:val="34"/>
    <w:pPr>
      <w:ind w:firstLine="420" w:firstLineChars="200"/>
    </w:p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1974</Words>
  <Characters>2008</Characters>
  <Lines>83</Lines>
  <Paragraphs>23</Paragraphs>
  <TotalTime>101</TotalTime>
  <ScaleCrop>false</ScaleCrop>
  <LinksUpToDate>false</LinksUpToDate>
  <CharactersWithSpaces>2019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2025-09-11T06:56:00Z</dcterms:created>
  <dc:creator>lenovo</dc:creator>
  <cp:lastModifiedBy>福州市仙游商会</cp:lastModifiedBy>
  <dcterms:modified xsi:type="dcterms:W3CDTF">2025-09-16T07:17:56Z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eyJoZGlkIjoiMjUyODA0NjVkYWUwNjc3ODA4YTAwZDhiZGQzZGI5NDgiLCJ1c2VySWQiOiI2MzQ4NzE3MDEifQ==</vt:lpwstr>
  </property>
  <property fmtid="{D5CDD505-2E9C-101B-9397-08002B2CF9AE}" pid="3" name="KSOProductBuildVer">
    <vt:lpwstr>2052-12.1.0.19302</vt:lpwstr>
  </property>
  <property fmtid="{D5CDD505-2E9C-101B-9397-08002B2CF9AE}" pid="4" name="ICV">
    <vt:lpwstr>CFA9C6BABEDD4E70BD1AF7627673D5B2_13</vt:lpwstr>
  </property>
</Properties>
</file>